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88" w:rsidRPr="00EE7190" w:rsidRDefault="00CA1110" w:rsidP="00D92C6A">
      <w:pPr>
        <w:ind w:left="-90"/>
        <w:rPr>
          <w:sz w:val="26"/>
          <w:szCs w:val="26"/>
        </w:rPr>
      </w:pPr>
      <w:r w:rsidRPr="00EE7190">
        <w:rPr>
          <w:noProof/>
          <w:sz w:val="26"/>
          <w:szCs w:val="26"/>
        </w:rPr>
        <mc:AlternateContent>
          <mc:Choice Requires="wps">
            <w:drawing>
              <wp:anchor distT="0" distB="0" distL="114300" distR="114300" simplePos="0" relativeHeight="251657728" behindDoc="0" locked="0" layoutInCell="1" allowOverlap="1" wp14:anchorId="21E50FF4" wp14:editId="6BA1BAEF">
                <wp:simplePos x="0" y="0"/>
                <wp:positionH relativeFrom="column">
                  <wp:posOffset>5497830</wp:posOffset>
                </wp:positionH>
                <wp:positionV relativeFrom="paragraph">
                  <wp:posOffset>-45720</wp:posOffset>
                </wp:positionV>
                <wp:extent cx="122682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283" w:rsidRPr="00D92C6A" w:rsidRDefault="00903283" w:rsidP="005C62FA">
                            <w:pPr>
                              <w:rPr>
                                <w:rFonts w:ascii="Goudy Old Style" w:hAnsi="Goudy Old Style" w:cs="Goudy Old Style"/>
                                <w:b/>
                                <w:i/>
                                <w:iCs/>
                                <w:sz w:val="18"/>
                                <w:szCs w:val="18"/>
                              </w:rPr>
                            </w:pPr>
                            <w:r w:rsidRPr="00D92C6A">
                              <w:rPr>
                                <w:b/>
                                <w:lang w:val="en-CA"/>
                              </w:rPr>
                              <w:fldChar w:fldCharType="begin"/>
                            </w:r>
                            <w:r w:rsidRPr="00D92C6A">
                              <w:rPr>
                                <w:b/>
                                <w:lang w:val="en-CA"/>
                              </w:rPr>
                              <w:instrText xml:space="preserve"> SEQ CHAPTER \h \r 1</w:instrText>
                            </w:r>
                            <w:r w:rsidRPr="00D92C6A">
                              <w:rPr>
                                <w:b/>
                                <w:lang w:val="en-CA"/>
                              </w:rPr>
                              <w:fldChar w:fldCharType="end"/>
                            </w:r>
                            <w:r w:rsidRPr="00D92C6A">
                              <w:rPr>
                                <w:rFonts w:ascii="Goudy Old Style" w:hAnsi="Goudy Old Style" w:cs="Goudy Old Style"/>
                                <w:b/>
                                <w:i/>
                                <w:iCs/>
                                <w:sz w:val="18"/>
                                <w:szCs w:val="18"/>
                              </w:rPr>
                              <w:t>Director:</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Donald Specter</w:t>
                            </w:r>
                          </w:p>
                          <w:p w:rsidR="00903283" w:rsidRDefault="00903283" w:rsidP="005C62FA">
                            <w:pPr>
                              <w:rPr>
                                <w:rFonts w:ascii="Goudy Old Style" w:hAnsi="Goudy Old Style" w:cs="Goudy Old Style"/>
                                <w:sz w:val="18"/>
                                <w:szCs w:val="18"/>
                              </w:rPr>
                            </w:pPr>
                          </w:p>
                          <w:p w:rsidR="00903283" w:rsidRPr="00D92C6A" w:rsidRDefault="00903283" w:rsidP="005C62FA">
                            <w:pPr>
                              <w:rPr>
                                <w:rFonts w:ascii="Goudy Old Style" w:hAnsi="Goudy Old Style" w:cs="Goudy Old Style"/>
                                <w:b/>
                                <w:sz w:val="18"/>
                                <w:szCs w:val="18"/>
                              </w:rPr>
                            </w:pPr>
                            <w:r w:rsidRPr="00D92C6A">
                              <w:rPr>
                                <w:rFonts w:ascii="Goudy Old Style" w:hAnsi="Goudy Old Style" w:cs="Goudy Old Style"/>
                                <w:b/>
                                <w:i/>
                                <w:iCs/>
                                <w:sz w:val="18"/>
                                <w:szCs w:val="18"/>
                              </w:rPr>
                              <w:t>Managing Attorney:</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Sara Norman</w:t>
                            </w:r>
                          </w:p>
                          <w:p w:rsidR="00903283" w:rsidRDefault="00903283" w:rsidP="005C62FA">
                            <w:pPr>
                              <w:rPr>
                                <w:rFonts w:ascii="Goudy Old Style" w:hAnsi="Goudy Old Style" w:cs="Goudy Old Style"/>
                                <w:sz w:val="18"/>
                                <w:szCs w:val="18"/>
                              </w:rPr>
                            </w:pPr>
                          </w:p>
                          <w:p w:rsidR="00903283" w:rsidRPr="00D92C6A" w:rsidRDefault="00903283" w:rsidP="005C62FA">
                            <w:pPr>
                              <w:rPr>
                                <w:rFonts w:ascii="Goudy Old Style" w:hAnsi="Goudy Old Style" w:cs="Goudy Old Style"/>
                                <w:b/>
                                <w:i/>
                                <w:iCs/>
                                <w:sz w:val="18"/>
                                <w:szCs w:val="18"/>
                              </w:rPr>
                            </w:pPr>
                            <w:r w:rsidRPr="00D92C6A">
                              <w:rPr>
                                <w:rFonts w:ascii="Goudy Old Style" w:hAnsi="Goudy Old Style" w:cs="Goudy Old Style"/>
                                <w:b/>
                                <w:i/>
                                <w:iCs/>
                                <w:sz w:val="18"/>
                                <w:szCs w:val="18"/>
                              </w:rPr>
                              <w:t>Staff Attorneys:</w:t>
                            </w:r>
                          </w:p>
                          <w:p w:rsidR="00903283" w:rsidRDefault="00903283" w:rsidP="005C62FA">
                            <w:pPr>
                              <w:rPr>
                                <w:rFonts w:ascii="Goudy Old Style" w:hAnsi="Goudy Old Style" w:cs="Goudy Old Style"/>
                                <w:i/>
                                <w:iCs/>
                                <w:sz w:val="18"/>
                                <w:szCs w:val="18"/>
                              </w:rPr>
                            </w:pPr>
                            <w:r>
                              <w:rPr>
                                <w:rFonts w:ascii="Goudy Old Style" w:hAnsi="Goudy Old Style" w:cs="Goudy Old Style"/>
                                <w:sz w:val="18"/>
                                <w:szCs w:val="18"/>
                              </w:rPr>
                              <w:t xml:space="preserve">Rana </w:t>
                            </w:r>
                            <w:proofErr w:type="spellStart"/>
                            <w:r>
                              <w:rPr>
                                <w:rFonts w:ascii="Goudy Old Style" w:hAnsi="Goudy Old Style" w:cs="Goudy Old Style"/>
                                <w:sz w:val="18"/>
                                <w:szCs w:val="18"/>
                              </w:rPr>
                              <w:t>Anabtawi</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Steven </w:t>
                            </w:r>
                            <w:proofErr w:type="spellStart"/>
                            <w:r>
                              <w:rPr>
                                <w:rFonts w:ascii="Goudy Old Style" w:hAnsi="Goudy Old Style" w:cs="Goudy Old Style"/>
                                <w:sz w:val="18"/>
                                <w:szCs w:val="18"/>
                              </w:rPr>
                              <w:t>Fama</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Alison Hardy</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Sophie Hart</w:t>
                            </w:r>
                          </w:p>
                          <w:p w:rsidR="00903283" w:rsidRDefault="00903283" w:rsidP="005C62FA">
                            <w:pPr>
                              <w:rPr>
                                <w:rFonts w:ascii="Goudy Old Style" w:hAnsi="Goudy Old Style" w:cs="Goudy Old Style"/>
                                <w:sz w:val="18"/>
                                <w:szCs w:val="18"/>
                              </w:rPr>
                            </w:pPr>
                            <w:proofErr w:type="spellStart"/>
                            <w:r>
                              <w:rPr>
                                <w:rFonts w:ascii="Goudy Old Style" w:hAnsi="Goudy Old Style" w:cs="Goudy Old Style"/>
                                <w:sz w:val="18"/>
                                <w:szCs w:val="18"/>
                              </w:rPr>
                              <w:t>Corene</w:t>
                            </w:r>
                            <w:proofErr w:type="spellEnd"/>
                            <w:r>
                              <w:rPr>
                                <w:rFonts w:ascii="Goudy Old Style" w:hAnsi="Goudy Old Style" w:cs="Goudy Old Style"/>
                                <w:sz w:val="18"/>
                                <w:szCs w:val="18"/>
                              </w:rPr>
                              <w:t xml:space="preserve"> Kendrick</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Rita </w:t>
                            </w:r>
                            <w:proofErr w:type="spellStart"/>
                            <w:r>
                              <w:rPr>
                                <w:rFonts w:ascii="Goudy Old Style" w:hAnsi="Goudy Old Style" w:cs="Goudy Old Style"/>
                                <w:sz w:val="18"/>
                                <w:szCs w:val="18"/>
                              </w:rPr>
                              <w:t>Lomio</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Margot Mendelson</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Thomas </w:t>
                            </w:r>
                            <w:proofErr w:type="spellStart"/>
                            <w:r>
                              <w:rPr>
                                <w:rFonts w:ascii="Goudy Old Style" w:hAnsi="Goudy Old Style" w:cs="Goudy Old Style"/>
                                <w:sz w:val="18"/>
                                <w:szCs w:val="18"/>
                              </w:rPr>
                              <w:t>Nosewicz</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Shira </w:t>
                            </w:r>
                            <w:proofErr w:type="spellStart"/>
                            <w:r>
                              <w:rPr>
                                <w:rFonts w:ascii="Goudy Old Style" w:hAnsi="Goudy Old Style" w:cs="Goudy Old Style"/>
                                <w:sz w:val="18"/>
                                <w:szCs w:val="18"/>
                              </w:rPr>
                              <w:t>Tevah</w:t>
                            </w:r>
                            <w:proofErr w:type="spellEnd"/>
                          </w:p>
                          <w:p w:rsidR="00903283" w:rsidRPr="00960AEF" w:rsidRDefault="00903283" w:rsidP="005C62FA">
                            <w:pPr>
                              <w:rPr>
                                <w:rFonts w:ascii="Goudy Old Style" w:hAnsi="Goudy Old Style" w:cs="Goudy Old Style"/>
                                <w:sz w:val="18"/>
                                <w:szCs w:val="18"/>
                              </w:rPr>
                            </w:pPr>
                            <w:r>
                              <w:rPr>
                                <w:rFonts w:ascii="Goudy Old Style" w:hAnsi="Goudy Old Style" w:cs="Goudy Old Style"/>
                                <w:sz w:val="18"/>
                                <w:szCs w:val="18"/>
                              </w:rPr>
                              <w:t>Camille Woods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9pt;margin-top:-3.6pt;width:96.6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Rseg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" stroked="f">
                <v:textbox inset="0,0,0,0">
                  <w:txbxContent>
                    <w:p w:rsidR="00903283" w:rsidRPr="00D92C6A" w:rsidRDefault="00903283" w:rsidP="005C62FA">
                      <w:pPr>
                        <w:rPr>
                          <w:rFonts w:ascii="Goudy Old Style" w:hAnsi="Goudy Old Style" w:cs="Goudy Old Style"/>
                          <w:b/>
                          <w:i/>
                          <w:iCs/>
                          <w:sz w:val="18"/>
                          <w:szCs w:val="18"/>
                        </w:rPr>
                      </w:pPr>
                      <w:r w:rsidRPr="00D92C6A">
                        <w:rPr>
                          <w:b/>
                          <w:lang w:val="en-CA"/>
                        </w:rPr>
                        <w:fldChar w:fldCharType="begin"/>
                      </w:r>
                      <w:r w:rsidRPr="00D92C6A">
                        <w:rPr>
                          <w:b/>
                          <w:lang w:val="en-CA"/>
                        </w:rPr>
                        <w:instrText xml:space="preserve"> SEQ CHAPTER \h \r 1</w:instrText>
                      </w:r>
                      <w:r w:rsidRPr="00D92C6A">
                        <w:rPr>
                          <w:b/>
                          <w:lang w:val="en-CA"/>
                        </w:rPr>
                        <w:fldChar w:fldCharType="end"/>
                      </w:r>
                      <w:r w:rsidRPr="00D92C6A">
                        <w:rPr>
                          <w:rFonts w:ascii="Goudy Old Style" w:hAnsi="Goudy Old Style" w:cs="Goudy Old Style"/>
                          <w:b/>
                          <w:i/>
                          <w:iCs/>
                          <w:sz w:val="18"/>
                          <w:szCs w:val="18"/>
                        </w:rPr>
                        <w:t>Director:</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Donald Specter</w:t>
                      </w:r>
                    </w:p>
                    <w:p w:rsidR="00903283" w:rsidRDefault="00903283" w:rsidP="005C62FA">
                      <w:pPr>
                        <w:rPr>
                          <w:rFonts w:ascii="Goudy Old Style" w:hAnsi="Goudy Old Style" w:cs="Goudy Old Style"/>
                          <w:sz w:val="18"/>
                          <w:szCs w:val="18"/>
                        </w:rPr>
                      </w:pPr>
                    </w:p>
                    <w:p w:rsidR="00903283" w:rsidRPr="00D92C6A" w:rsidRDefault="00903283" w:rsidP="005C62FA">
                      <w:pPr>
                        <w:rPr>
                          <w:rFonts w:ascii="Goudy Old Style" w:hAnsi="Goudy Old Style" w:cs="Goudy Old Style"/>
                          <w:b/>
                          <w:sz w:val="18"/>
                          <w:szCs w:val="18"/>
                        </w:rPr>
                      </w:pPr>
                      <w:r w:rsidRPr="00D92C6A">
                        <w:rPr>
                          <w:rFonts w:ascii="Goudy Old Style" w:hAnsi="Goudy Old Style" w:cs="Goudy Old Style"/>
                          <w:b/>
                          <w:i/>
                          <w:iCs/>
                          <w:sz w:val="18"/>
                          <w:szCs w:val="18"/>
                        </w:rPr>
                        <w:t>Managing Attorney:</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Sara Norman</w:t>
                      </w:r>
                    </w:p>
                    <w:p w:rsidR="00903283" w:rsidRDefault="00903283" w:rsidP="005C62FA">
                      <w:pPr>
                        <w:rPr>
                          <w:rFonts w:ascii="Goudy Old Style" w:hAnsi="Goudy Old Style" w:cs="Goudy Old Style"/>
                          <w:sz w:val="18"/>
                          <w:szCs w:val="18"/>
                        </w:rPr>
                      </w:pPr>
                    </w:p>
                    <w:p w:rsidR="00903283" w:rsidRPr="00D92C6A" w:rsidRDefault="00903283" w:rsidP="005C62FA">
                      <w:pPr>
                        <w:rPr>
                          <w:rFonts w:ascii="Goudy Old Style" w:hAnsi="Goudy Old Style" w:cs="Goudy Old Style"/>
                          <w:b/>
                          <w:i/>
                          <w:iCs/>
                          <w:sz w:val="18"/>
                          <w:szCs w:val="18"/>
                        </w:rPr>
                      </w:pPr>
                      <w:r w:rsidRPr="00D92C6A">
                        <w:rPr>
                          <w:rFonts w:ascii="Goudy Old Style" w:hAnsi="Goudy Old Style" w:cs="Goudy Old Style"/>
                          <w:b/>
                          <w:i/>
                          <w:iCs/>
                          <w:sz w:val="18"/>
                          <w:szCs w:val="18"/>
                        </w:rPr>
                        <w:t>Staff Attorneys:</w:t>
                      </w:r>
                    </w:p>
                    <w:p w:rsidR="00903283" w:rsidRDefault="00903283" w:rsidP="005C62FA">
                      <w:pPr>
                        <w:rPr>
                          <w:rFonts w:ascii="Goudy Old Style" w:hAnsi="Goudy Old Style" w:cs="Goudy Old Style"/>
                          <w:i/>
                          <w:iCs/>
                          <w:sz w:val="18"/>
                          <w:szCs w:val="18"/>
                        </w:rPr>
                      </w:pPr>
                      <w:r>
                        <w:rPr>
                          <w:rFonts w:ascii="Goudy Old Style" w:hAnsi="Goudy Old Style" w:cs="Goudy Old Style"/>
                          <w:sz w:val="18"/>
                          <w:szCs w:val="18"/>
                        </w:rPr>
                        <w:t xml:space="preserve">Rana </w:t>
                      </w:r>
                      <w:proofErr w:type="spellStart"/>
                      <w:r>
                        <w:rPr>
                          <w:rFonts w:ascii="Goudy Old Style" w:hAnsi="Goudy Old Style" w:cs="Goudy Old Style"/>
                          <w:sz w:val="18"/>
                          <w:szCs w:val="18"/>
                        </w:rPr>
                        <w:t>Anabtawi</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Steven </w:t>
                      </w:r>
                      <w:proofErr w:type="spellStart"/>
                      <w:r>
                        <w:rPr>
                          <w:rFonts w:ascii="Goudy Old Style" w:hAnsi="Goudy Old Style" w:cs="Goudy Old Style"/>
                          <w:sz w:val="18"/>
                          <w:szCs w:val="18"/>
                        </w:rPr>
                        <w:t>Fama</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Alison Hardy</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Sophie Hart</w:t>
                      </w:r>
                    </w:p>
                    <w:p w:rsidR="00903283" w:rsidRDefault="00903283" w:rsidP="005C62FA">
                      <w:pPr>
                        <w:rPr>
                          <w:rFonts w:ascii="Goudy Old Style" w:hAnsi="Goudy Old Style" w:cs="Goudy Old Style"/>
                          <w:sz w:val="18"/>
                          <w:szCs w:val="18"/>
                        </w:rPr>
                      </w:pPr>
                      <w:proofErr w:type="spellStart"/>
                      <w:r>
                        <w:rPr>
                          <w:rFonts w:ascii="Goudy Old Style" w:hAnsi="Goudy Old Style" w:cs="Goudy Old Style"/>
                          <w:sz w:val="18"/>
                          <w:szCs w:val="18"/>
                        </w:rPr>
                        <w:t>Corene</w:t>
                      </w:r>
                      <w:proofErr w:type="spellEnd"/>
                      <w:r>
                        <w:rPr>
                          <w:rFonts w:ascii="Goudy Old Style" w:hAnsi="Goudy Old Style" w:cs="Goudy Old Style"/>
                          <w:sz w:val="18"/>
                          <w:szCs w:val="18"/>
                        </w:rPr>
                        <w:t xml:space="preserve"> Kendrick</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Rita </w:t>
                      </w:r>
                      <w:proofErr w:type="spellStart"/>
                      <w:r>
                        <w:rPr>
                          <w:rFonts w:ascii="Goudy Old Style" w:hAnsi="Goudy Old Style" w:cs="Goudy Old Style"/>
                          <w:sz w:val="18"/>
                          <w:szCs w:val="18"/>
                        </w:rPr>
                        <w:t>Lomio</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Margot Mendelson</w:t>
                      </w:r>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Thomas </w:t>
                      </w:r>
                      <w:proofErr w:type="spellStart"/>
                      <w:r>
                        <w:rPr>
                          <w:rFonts w:ascii="Goudy Old Style" w:hAnsi="Goudy Old Style" w:cs="Goudy Old Style"/>
                          <w:sz w:val="18"/>
                          <w:szCs w:val="18"/>
                        </w:rPr>
                        <w:t>Nosewicz</w:t>
                      </w:r>
                      <w:proofErr w:type="spellEnd"/>
                    </w:p>
                    <w:p w:rsidR="00903283" w:rsidRDefault="00903283" w:rsidP="005C62FA">
                      <w:pPr>
                        <w:rPr>
                          <w:rFonts w:ascii="Goudy Old Style" w:hAnsi="Goudy Old Style" w:cs="Goudy Old Style"/>
                          <w:sz w:val="18"/>
                          <w:szCs w:val="18"/>
                        </w:rPr>
                      </w:pPr>
                      <w:r>
                        <w:rPr>
                          <w:rFonts w:ascii="Goudy Old Style" w:hAnsi="Goudy Old Style" w:cs="Goudy Old Style"/>
                          <w:sz w:val="18"/>
                          <w:szCs w:val="18"/>
                        </w:rPr>
                        <w:t xml:space="preserve">Shira </w:t>
                      </w:r>
                      <w:proofErr w:type="spellStart"/>
                      <w:r>
                        <w:rPr>
                          <w:rFonts w:ascii="Goudy Old Style" w:hAnsi="Goudy Old Style" w:cs="Goudy Old Style"/>
                          <w:sz w:val="18"/>
                          <w:szCs w:val="18"/>
                        </w:rPr>
                        <w:t>Tevah</w:t>
                      </w:r>
                      <w:proofErr w:type="spellEnd"/>
                    </w:p>
                    <w:p w:rsidR="00903283" w:rsidRPr="00960AEF" w:rsidRDefault="00903283" w:rsidP="005C62FA">
                      <w:pPr>
                        <w:rPr>
                          <w:rFonts w:ascii="Goudy Old Style" w:hAnsi="Goudy Old Style" w:cs="Goudy Old Style"/>
                          <w:sz w:val="18"/>
                          <w:szCs w:val="18"/>
                        </w:rPr>
                      </w:pPr>
                      <w:r>
                        <w:rPr>
                          <w:rFonts w:ascii="Goudy Old Style" w:hAnsi="Goudy Old Style" w:cs="Goudy Old Style"/>
                          <w:sz w:val="18"/>
                          <w:szCs w:val="18"/>
                        </w:rPr>
                        <w:t>Camille Woods</w:t>
                      </w:r>
                    </w:p>
                  </w:txbxContent>
                </v:textbox>
              </v:shape>
            </w:pict>
          </mc:Fallback>
        </mc:AlternateContent>
      </w:r>
      <w:r w:rsidR="008F33A3" w:rsidRPr="00EE7190">
        <w:rPr>
          <w:noProof/>
          <w:sz w:val="26"/>
          <w:szCs w:val="26"/>
        </w:rPr>
        <mc:AlternateContent>
          <mc:Choice Requires="wps">
            <w:drawing>
              <wp:anchor distT="0" distB="0" distL="114300" distR="114300" simplePos="0" relativeHeight="251656704" behindDoc="1" locked="0" layoutInCell="1" allowOverlap="1" wp14:anchorId="368D64FA" wp14:editId="696791ED">
                <wp:simplePos x="0" y="0"/>
                <wp:positionH relativeFrom="page">
                  <wp:align>center</wp:align>
                </wp:positionH>
                <wp:positionV relativeFrom="paragraph">
                  <wp:posOffset>-45720</wp:posOffset>
                </wp:positionV>
                <wp:extent cx="2905760" cy="800100"/>
                <wp:effectExtent l="0" t="190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283" w:rsidRPr="00D92C6A" w:rsidRDefault="00903283" w:rsidP="00D92C6A">
                            <w:pPr>
                              <w:ind w:firstLine="720"/>
                              <w:jc w:val="center"/>
                              <w:rPr>
                                <w:rFonts w:ascii="Goudy Old Style" w:hAnsi="Goudy Old Style"/>
                                <w:b/>
                                <w:sz w:val="36"/>
                                <w:szCs w:val="36"/>
                              </w:rPr>
                            </w:pPr>
                            <w:r w:rsidRPr="00D92C6A">
                              <w:rPr>
                                <w:rFonts w:ascii="Goudy Old Style" w:hAnsi="Goudy Old Style"/>
                                <w:b/>
                                <w:sz w:val="36"/>
                                <w:szCs w:val="36"/>
                              </w:rPr>
                              <w:t>P</w:t>
                            </w:r>
                            <w:r w:rsidRPr="00D92C6A">
                              <w:rPr>
                                <w:rFonts w:ascii="Goudy Old Style" w:hAnsi="Goudy Old Style"/>
                                <w:b/>
                              </w:rPr>
                              <w:t>RISON</w:t>
                            </w:r>
                            <w:r w:rsidRPr="00D92C6A">
                              <w:rPr>
                                <w:rFonts w:ascii="Goudy Old Style" w:hAnsi="Goudy Old Style"/>
                                <w:b/>
                                <w:sz w:val="36"/>
                                <w:szCs w:val="36"/>
                              </w:rPr>
                              <w:t xml:space="preserve"> L</w:t>
                            </w:r>
                            <w:r w:rsidRPr="00D92C6A">
                              <w:rPr>
                                <w:rFonts w:ascii="Goudy Old Style" w:hAnsi="Goudy Old Style"/>
                                <w:b/>
                              </w:rPr>
                              <w:t>AW</w:t>
                            </w:r>
                            <w:r w:rsidRPr="00D92C6A">
                              <w:rPr>
                                <w:rFonts w:ascii="Goudy Old Style" w:hAnsi="Goudy Old Style"/>
                                <w:b/>
                                <w:sz w:val="36"/>
                                <w:szCs w:val="36"/>
                              </w:rPr>
                              <w:t xml:space="preserve"> O</w:t>
                            </w:r>
                            <w:r w:rsidRPr="00D92C6A">
                              <w:rPr>
                                <w:rFonts w:ascii="Goudy Old Style" w:hAnsi="Goudy Old Style"/>
                                <w:b/>
                              </w:rPr>
                              <w:t>FFICE</w:t>
                            </w:r>
                          </w:p>
                          <w:p w:rsidR="00903283" w:rsidRPr="00F86FB1" w:rsidRDefault="00903283" w:rsidP="00D92C6A">
                            <w:pPr>
                              <w:ind w:firstLine="720"/>
                              <w:jc w:val="center"/>
                              <w:rPr>
                                <w:rFonts w:ascii="Goudy Old Style" w:hAnsi="Goudy Old Style"/>
                                <w:sz w:val="20"/>
                                <w:szCs w:val="20"/>
                              </w:rPr>
                            </w:pPr>
                            <w:r>
                              <w:rPr>
                                <w:rFonts w:ascii="Goudy Old Style" w:hAnsi="Goudy Old Style"/>
                                <w:sz w:val="20"/>
                                <w:szCs w:val="20"/>
                              </w:rPr>
                              <w:t>General Delivery, San Quentin, CA 94964</w:t>
                            </w:r>
                          </w:p>
                          <w:p w:rsidR="00903283" w:rsidRDefault="00903283" w:rsidP="00D92C6A">
                            <w:pPr>
                              <w:ind w:firstLine="720"/>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rsidR="00903283" w:rsidRPr="00F86FB1" w:rsidRDefault="00903283" w:rsidP="00D92C6A">
                            <w:pPr>
                              <w:ind w:firstLine="720"/>
                              <w:jc w:val="center"/>
                              <w:rPr>
                                <w:rFonts w:ascii="Goudy Old Style" w:hAnsi="Goudy Old Style"/>
                                <w:sz w:val="20"/>
                                <w:szCs w:val="20"/>
                              </w:rPr>
                            </w:pPr>
                            <w:r w:rsidRPr="00F86FB1">
                              <w:rPr>
                                <w:rFonts w:ascii="Goudy Old Style" w:hAnsi="Goudy Old Style"/>
                                <w:sz w:val="20"/>
                                <w:szCs w:val="20"/>
                              </w:rPr>
                              <w:t>www.prisonlaw.com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6pt;width:228.8pt;height:63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" stroked="f">
                <v:textbox inset="0,0,0,0">
                  <w:txbxContent>
                    <w:p w:rsidR="00903283" w:rsidRPr="00D92C6A" w:rsidRDefault="00903283" w:rsidP="00D92C6A">
                      <w:pPr>
                        <w:ind w:firstLine="720"/>
                        <w:jc w:val="center"/>
                        <w:rPr>
                          <w:rFonts w:ascii="Goudy Old Style" w:hAnsi="Goudy Old Style"/>
                          <w:b/>
                          <w:sz w:val="36"/>
                          <w:szCs w:val="36"/>
                        </w:rPr>
                      </w:pPr>
                      <w:r w:rsidRPr="00D92C6A">
                        <w:rPr>
                          <w:rFonts w:ascii="Goudy Old Style" w:hAnsi="Goudy Old Style"/>
                          <w:b/>
                          <w:sz w:val="36"/>
                          <w:szCs w:val="36"/>
                        </w:rPr>
                        <w:t>P</w:t>
                      </w:r>
                      <w:r w:rsidRPr="00D92C6A">
                        <w:rPr>
                          <w:rFonts w:ascii="Goudy Old Style" w:hAnsi="Goudy Old Style"/>
                          <w:b/>
                        </w:rPr>
                        <w:t>RISON</w:t>
                      </w:r>
                      <w:r w:rsidRPr="00D92C6A">
                        <w:rPr>
                          <w:rFonts w:ascii="Goudy Old Style" w:hAnsi="Goudy Old Style"/>
                          <w:b/>
                          <w:sz w:val="36"/>
                          <w:szCs w:val="36"/>
                        </w:rPr>
                        <w:t xml:space="preserve"> L</w:t>
                      </w:r>
                      <w:r w:rsidRPr="00D92C6A">
                        <w:rPr>
                          <w:rFonts w:ascii="Goudy Old Style" w:hAnsi="Goudy Old Style"/>
                          <w:b/>
                        </w:rPr>
                        <w:t>AW</w:t>
                      </w:r>
                      <w:r w:rsidRPr="00D92C6A">
                        <w:rPr>
                          <w:rFonts w:ascii="Goudy Old Style" w:hAnsi="Goudy Old Style"/>
                          <w:b/>
                          <w:sz w:val="36"/>
                          <w:szCs w:val="36"/>
                        </w:rPr>
                        <w:t xml:space="preserve"> O</w:t>
                      </w:r>
                      <w:r w:rsidRPr="00D92C6A">
                        <w:rPr>
                          <w:rFonts w:ascii="Goudy Old Style" w:hAnsi="Goudy Old Style"/>
                          <w:b/>
                        </w:rPr>
                        <w:t>FFICE</w:t>
                      </w:r>
                    </w:p>
                    <w:p w:rsidR="00903283" w:rsidRPr="00F86FB1" w:rsidRDefault="00903283" w:rsidP="00D92C6A">
                      <w:pPr>
                        <w:ind w:firstLine="720"/>
                        <w:jc w:val="center"/>
                        <w:rPr>
                          <w:rFonts w:ascii="Goudy Old Style" w:hAnsi="Goudy Old Style"/>
                          <w:sz w:val="20"/>
                          <w:szCs w:val="20"/>
                        </w:rPr>
                      </w:pPr>
                      <w:r>
                        <w:rPr>
                          <w:rFonts w:ascii="Goudy Old Style" w:hAnsi="Goudy Old Style"/>
                          <w:sz w:val="20"/>
                          <w:szCs w:val="20"/>
                        </w:rPr>
                        <w:t>General Delivery, San Quentin, CA 94964</w:t>
                      </w:r>
                    </w:p>
                    <w:p w:rsidR="00903283" w:rsidRDefault="00903283" w:rsidP="00D92C6A">
                      <w:pPr>
                        <w:ind w:firstLine="720"/>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rsidR="00903283" w:rsidRPr="00F86FB1" w:rsidRDefault="00903283" w:rsidP="00D92C6A">
                      <w:pPr>
                        <w:ind w:firstLine="720"/>
                        <w:jc w:val="center"/>
                        <w:rPr>
                          <w:rFonts w:ascii="Goudy Old Style" w:hAnsi="Goudy Old Style"/>
                          <w:sz w:val="20"/>
                          <w:szCs w:val="20"/>
                        </w:rPr>
                      </w:pPr>
                      <w:r w:rsidRPr="00F86FB1">
                        <w:rPr>
                          <w:rFonts w:ascii="Goudy Old Style" w:hAnsi="Goudy Old Style"/>
                          <w:sz w:val="20"/>
                          <w:szCs w:val="20"/>
                        </w:rPr>
                        <w:t>www.prisonlaw.com</w:t>
                      </w:r>
                    </w:p>
                  </w:txbxContent>
                </v:textbox>
                <w10:wrap anchorx="page"/>
              </v:shape>
            </w:pict>
          </mc:Fallback>
        </mc:AlternateContent>
      </w:r>
      <w:r w:rsidR="008F33A3" w:rsidRPr="00EE7190">
        <w:rPr>
          <w:noProof/>
          <w:sz w:val="26"/>
          <w:szCs w:val="26"/>
        </w:rPr>
        <w:drawing>
          <wp:inline distT="0" distB="0" distL="0" distR="0" wp14:anchorId="45561966" wp14:editId="131931E7">
            <wp:extent cx="1371600" cy="866775"/>
            <wp:effectExtent l="0" t="0" r="0" b="9525"/>
            <wp:docPr id="1" name="Picture 1" descr="P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rsidR="00E05AD2" w:rsidRPr="00EE7190" w:rsidRDefault="00E05AD2">
      <w:pPr>
        <w:rPr>
          <w:sz w:val="26"/>
          <w:szCs w:val="26"/>
        </w:rPr>
      </w:pPr>
    </w:p>
    <w:p w:rsidR="00F032E5" w:rsidRPr="00EE7190" w:rsidRDefault="00F032E5" w:rsidP="001C11C0">
      <w:pPr>
        <w:jc w:val="both"/>
        <w:rPr>
          <w:sz w:val="26"/>
          <w:szCs w:val="26"/>
          <w:lang w:val="es-MX"/>
        </w:rPr>
      </w:pPr>
    </w:p>
    <w:p w:rsidR="00363353" w:rsidRPr="00EE7190" w:rsidRDefault="00363353" w:rsidP="001C11C0">
      <w:pPr>
        <w:autoSpaceDE w:val="0"/>
        <w:autoSpaceDN w:val="0"/>
        <w:adjustRightInd w:val="0"/>
        <w:jc w:val="both"/>
        <w:rPr>
          <w:b/>
          <w:bCs/>
          <w:sz w:val="26"/>
          <w:szCs w:val="26"/>
          <w:lang w:val="es-MX"/>
        </w:rPr>
      </w:pPr>
      <w:r w:rsidRPr="00EE7190">
        <w:rPr>
          <w:b/>
          <w:bCs/>
          <w:sz w:val="26"/>
          <w:szCs w:val="26"/>
          <w:lang w:val="es-MX"/>
        </w:rPr>
        <w:t>Es su Responsabilidad al Usar la Información Proporcionada Abajo:</w:t>
      </w:r>
    </w:p>
    <w:p w:rsidR="00B553A9" w:rsidRPr="00EE7190" w:rsidRDefault="00B553A9" w:rsidP="001C11C0">
      <w:pPr>
        <w:autoSpaceDE w:val="0"/>
        <w:autoSpaceDN w:val="0"/>
        <w:adjustRightInd w:val="0"/>
        <w:jc w:val="both"/>
        <w:rPr>
          <w:sz w:val="26"/>
          <w:szCs w:val="26"/>
          <w:lang w:val="es-MX"/>
        </w:rPr>
      </w:pPr>
    </w:p>
    <w:p w:rsidR="005D4A28" w:rsidRPr="00EE7190" w:rsidRDefault="005D4A28" w:rsidP="001C11C0">
      <w:pPr>
        <w:autoSpaceDE w:val="0"/>
        <w:autoSpaceDN w:val="0"/>
        <w:adjustRightInd w:val="0"/>
        <w:ind w:right="1706" w:firstLine="720"/>
        <w:jc w:val="both"/>
        <w:rPr>
          <w:i/>
          <w:sz w:val="26"/>
          <w:szCs w:val="26"/>
          <w:lang w:val="es-MX"/>
        </w:rPr>
      </w:pPr>
      <w:r w:rsidRPr="00EE7190">
        <w:rPr>
          <w:i/>
          <w:sz w:val="26"/>
          <w:szCs w:val="26"/>
          <w:lang w:val="es-MX"/>
        </w:rPr>
        <w:t>Al recopilar este material, hicimos lo mejor para darle una información útil y precisa porque sabemos que los presos frecuentemente tienen problema para conseguir información legal y no podemos dar</w:t>
      </w:r>
      <w:r w:rsidR="0034201E" w:rsidRPr="00EE7190">
        <w:rPr>
          <w:i/>
          <w:sz w:val="26"/>
          <w:szCs w:val="26"/>
          <w:lang w:val="es-MX"/>
        </w:rPr>
        <w:t xml:space="preserve">le un </w:t>
      </w:r>
      <w:r w:rsidRPr="00EE7190">
        <w:rPr>
          <w:i/>
          <w:sz w:val="26"/>
          <w:szCs w:val="26"/>
          <w:lang w:val="es-MX"/>
        </w:rPr>
        <w:t>consejo específico a todos los presos que lo solicitan. Las leyes cambian</w:t>
      </w:r>
      <w:r w:rsidR="00EE7190">
        <w:rPr>
          <w:i/>
          <w:sz w:val="26"/>
          <w:szCs w:val="26"/>
          <w:lang w:val="es-MX"/>
        </w:rPr>
        <w:t xml:space="preserve"> </w:t>
      </w:r>
      <w:r w:rsidRPr="00EE7190">
        <w:rPr>
          <w:i/>
          <w:sz w:val="26"/>
          <w:szCs w:val="26"/>
          <w:lang w:val="es-MX"/>
        </w:rPr>
        <w:t>frecuentemente y pueden ser observadas de diferentes maneras</w:t>
      </w:r>
      <w:r w:rsidR="0034201E" w:rsidRPr="00EE7190">
        <w:rPr>
          <w:i/>
          <w:sz w:val="26"/>
          <w:szCs w:val="26"/>
          <w:lang w:val="es-MX"/>
        </w:rPr>
        <w:t>. Nosotros no siempre tenemos recursos para hacer los cambios a este material cada vez que la ley cambia. Si usted usa este folleto, es su responsabilidad asegurarse que la ley no ha cambiado y todavía aplica a su situación. La mayoría de los materiales que usted necesita están disponibles en la biblioteca legal de su institución.</w:t>
      </w:r>
    </w:p>
    <w:p w:rsidR="00B553A9" w:rsidRPr="00EE7190" w:rsidRDefault="00B553A9" w:rsidP="001C11C0">
      <w:pPr>
        <w:jc w:val="both"/>
        <w:rPr>
          <w:sz w:val="26"/>
          <w:szCs w:val="26"/>
          <w:lang w:val="es-MX"/>
        </w:rPr>
      </w:pPr>
    </w:p>
    <w:p w:rsidR="007A2ACB" w:rsidRPr="00EE7190" w:rsidRDefault="007A2ACB" w:rsidP="001C11C0">
      <w:pPr>
        <w:jc w:val="both"/>
        <w:rPr>
          <w:sz w:val="26"/>
          <w:szCs w:val="26"/>
          <w:lang w:val="es-MX"/>
        </w:rPr>
      </w:pPr>
    </w:p>
    <w:p w:rsidR="0034201E" w:rsidRPr="00EE7190" w:rsidRDefault="0034201E" w:rsidP="00EE7190">
      <w:pPr>
        <w:autoSpaceDE w:val="0"/>
        <w:autoSpaceDN w:val="0"/>
        <w:adjustRightInd w:val="0"/>
        <w:ind w:left="720"/>
        <w:jc w:val="center"/>
        <w:rPr>
          <w:b/>
          <w:bCs/>
          <w:sz w:val="26"/>
          <w:szCs w:val="26"/>
          <w:lang w:val="es-MX"/>
        </w:rPr>
      </w:pPr>
      <w:r w:rsidRPr="00EE7190">
        <w:rPr>
          <w:b/>
          <w:bCs/>
          <w:sz w:val="26"/>
          <w:szCs w:val="26"/>
          <w:lang w:val="es-MX"/>
        </w:rPr>
        <w:t>INFO</w:t>
      </w:r>
      <w:r w:rsidR="00C30CD2" w:rsidRPr="00EE7190">
        <w:rPr>
          <w:b/>
          <w:bCs/>
          <w:sz w:val="26"/>
          <w:szCs w:val="26"/>
          <w:lang w:val="es-MX"/>
        </w:rPr>
        <w:t>RMACIÓN SOBRE AGRESIÓN</w:t>
      </w:r>
      <w:r w:rsidR="00EE7190">
        <w:rPr>
          <w:b/>
          <w:bCs/>
          <w:sz w:val="26"/>
          <w:szCs w:val="26"/>
          <w:lang w:val="es-MX"/>
        </w:rPr>
        <w:t xml:space="preserve"> </w:t>
      </w:r>
      <w:r w:rsidRPr="00EE7190">
        <w:rPr>
          <w:b/>
          <w:bCs/>
          <w:sz w:val="26"/>
          <w:szCs w:val="26"/>
          <w:lang w:val="es-MX"/>
        </w:rPr>
        <w:t>Y ACOSO SEXUAL</w:t>
      </w:r>
      <w:r w:rsidR="00EE7190">
        <w:rPr>
          <w:b/>
          <w:bCs/>
          <w:sz w:val="26"/>
          <w:szCs w:val="26"/>
          <w:lang w:val="es-MX"/>
        </w:rPr>
        <w:t xml:space="preserve"> </w:t>
      </w:r>
      <w:r w:rsidRPr="00EE7190">
        <w:rPr>
          <w:b/>
          <w:bCs/>
          <w:sz w:val="26"/>
          <w:szCs w:val="26"/>
          <w:lang w:val="es-MX"/>
        </w:rPr>
        <w:t>PARA PERSONAS ENCARCELADAS EN PRISIONES DE ARIZONA.</w:t>
      </w:r>
    </w:p>
    <w:p w:rsidR="00B553A9" w:rsidRPr="00EE7190" w:rsidRDefault="00C30CD2" w:rsidP="00EE7190">
      <w:pPr>
        <w:autoSpaceDE w:val="0"/>
        <w:autoSpaceDN w:val="0"/>
        <w:adjustRightInd w:val="0"/>
        <w:jc w:val="center"/>
        <w:rPr>
          <w:b/>
          <w:bCs/>
          <w:sz w:val="26"/>
          <w:szCs w:val="26"/>
          <w:lang w:val="es-MX"/>
        </w:rPr>
      </w:pPr>
      <w:r w:rsidRPr="00EE7190">
        <w:rPr>
          <w:b/>
          <w:bCs/>
          <w:sz w:val="26"/>
          <w:szCs w:val="26"/>
          <w:lang w:val="es-MX"/>
        </w:rPr>
        <w:t>Actualizado Junio del 2019</w:t>
      </w:r>
    </w:p>
    <w:p w:rsidR="00B553A9" w:rsidRPr="00EE7190" w:rsidRDefault="00B553A9" w:rsidP="001C11C0">
      <w:pPr>
        <w:autoSpaceDE w:val="0"/>
        <w:autoSpaceDN w:val="0"/>
        <w:adjustRightInd w:val="0"/>
        <w:ind w:firstLine="720"/>
        <w:jc w:val="both"/>
        <w:rPr>
          <w:sz w:val="26"/>
          <w:szCs w:val="26"/>
          <w:lang w:val="es-MX"/>
        </w:rPr>
      </w:pPr>
    </w:p>
    <w:p w:rsidR="00C30CD2" w:rsidRPr="00EE7190" w:rsidRDefault="00C30CD2" w:rsidP="001C11C0">
      <w:pPr>
        <w:autoSpaceDE w:val="0"/>
        <w:autoSpaceDN w:val="0"/>
        <w:adjustRightInd w:val="0"/>
        <w:ind w:firstLine="720"/>
        <w:jc w:val="both"/>
        <w:rPr>
          <w:b/>
          <w:sz w:val="26"/>
          <w:szCs w:val="26"/>
          <w:u w:val="single"/>
          <w:lang w:val="es-MX"/>
        </w:rPr>
      </w:pPr>
      <w:r w:rsidRPr="00EE7190">
        <w:rPr>
          <w:sz w:val="26"/>
          <w:szCs w:val="26"/>
          <w:lang w:val="es-MX"/>
        </w:rPr>
        <w:t>La agresión</w:t>
      </w:r>
      <w:r w:rsidR="00EE7190">
        <w:rPr>
          <w:sz w:val="26"/>
          <w:szCs w:val="26"/>
          <w:lang w:val="es-MX"/>
        </w:rPr>
        <w:t xml:space="preserve"> </w:t>
      </w:r>
      <w:r w:rsidRPr="00EE7190">
        <w:rPr>
          <w:sz w:val="26"/>
          <w:szCs w:val="26"/>
          <w:lang w:val="es-MX"/>
        </w:rPr>
        <w:t>y acoso sexual pueden ocurrir dentro de las paredes</w:t>
      </w:r>
      <w:r w:rsidR="00EE7190">
        <w:rPr>
          <w:sz w:val="26"/>
          <w:szCs w:val="26"/>
          <w:lang w:val="es-MX"/>
        </w:rPr>
        <w:t xml:space="preserve"> </w:t>
      </w:r>
      <w:r w:rsidRPr="00EE7190">
        <w:rPr>
          <w:sz w:val="26"/>
          <w:szCs w:val="26"/>
          <w:lang w:val="es-MX"/>
        </w:rPr>
        <w:t>de la prisión, justo como pasa afuera.</w:t>
      </w:r>
      <w:r w:rsidR="00EE7190">
        <w:rPr>
          <w:sz w:val="26"/>
          <w:szCs w:val="26"/>
          <w:lang w:val="es-MX"/>
        </w:rPr>
        <w:t xml:space="preserve"> </w:t>
      </w:r>
      <w:r w:rsidRPr="00EE7190">
        <w:rPr>
          <w:sz w:val="26"/>
          <w:szCs w:val="26"/>
          <w:lang w:val="es-MX"/>
        </w:rPr>
        <w:t>Esta carta usará el término “abuso sexual” para referirse a</w:t>
      </w:r>
      <w:r w:rsidR="00EE7190">
        <w:rPr>
          <w:sz w:val="26"/>
          <w:szCs w:val="26"/>
          <w:lang w:val="es-MX"/>
        </w:rPr>
        <w:t xml:space="preserve"> </w:t>
      </w:r>
      <w:r w:rsidRPr="00EE7190">
        <w:rPr>
          <w:sz w:val="26"/>
          <w:szCs w:val="26"/>
          <w:lang w:val="es-MX"/>
        </w:rPr>
        <w:t>todas las formas de agresión sexual y/o acoso. El abus</w:t>
      </w:r>
      <w:r w:rsidR="004A4506" w:rsidRPr="00EE7190">
        <w:rPr>
          <w:sz w:val="26"/>
          <w:szCs w:val="26"/>
          <w:lang w:val="es-MX"/>
        </w:rPr>
        <w:t>o sexual puede dirigirse a</w:t>
      </w:r>
      <w:r w:rsidR="00EE7190">
        <w:rPr>
          <w:sz w:val="26"/>
          <w:szCs w:val="26"/>
          <w:lang w:val="es-MX"/>
        </w:rPr>
        <w:t xml:space="preserve"> </w:t>
      </w:r>
      <w:r w:rsidRPr="00EE7190">
        <w:rPr>
          <w:sz w:val="26"/>
          <w:szCs w:val="26"/>
          <w:lang w:val="es-MX"/>
        </w:rPr>
        <w:t>hombres o mu</w:t>
      </w:r>
      <w:r w:rsidR="004A4506" w:rsidRPr="00EE7190">
        <w:rPr>
          <w:sz w:val="26"/>
          <w:szCs w:val="26"/>
          <w:lang w:val="es-MX"/>
        </w:rPr>
        <w:t xml:space="preserve">jeres encarceladas; cometido por el personal penitenciario masculino o femenino; o por otras personas encarceladas. Pueden ser actos explícitos u otro tipos de tocamientos, o puede consistir en acoso verbal o gestos lascivos. Puede ser difícil reportar una abuso sexual en la prisión, el personal penitenciario y los </w:t>
      </w:r>
      <w:proofErr w:type="spellStart"/>
      <w:r w:rsidR="004A4506" w:rsidRPr="00EE7190">
        <w:rPr>
          <w:sz w:val="26"/>
          <w:szCs w:val="26"/>
          <w:lang w:val="es-MX"/>
        </w:rPr>
        <w:t>administadores</w:t>
      </w:r>
      <w:proofErr w:type="spellEnd"/>
      <w:r w:rsidR="004A4506" w:rsidRPr="00EE7190">
        <w:rPr>
          <w:sz w:val="26"/>
          <w:szCs w:val="26"/>
          <w:lang w:val="es-MX"/>
        </w:rPr>
        <w:t xml:space="preserve"> pueden solamente castigar a una persona por cometer abuso sexual o proteger a una persona presa de futuros daños si ellos saben acerca del problema. </w:t>
      </w:r>
      <w:r w:rsidR="004A4506" w:rsidRPr="00EE7190">
        <w:rPr>
          <w:b/>
          <w:sz w:val="26"/>
          <w:szCs w:val="26"/>
          <w:u w:val="single"/>
          <w:lang w:val="es-MX"/>
        </w:rPr>
        <w:t>Las personas presas deben inmediatamente tomar acción y reportar los incidentes de abuso sexual o peligro de abuso sexual a los oficiales de la penitenciaría, c</w:t>
      </w:r>
      <w:r w:rsidR="008E5C39" w:rsidRPr="00EE7190">
        <w:rPr>
          <w:b/>
          <w:sz w:val="26"/>
          <w:szCs w:val="26"/>
          <w:u w:val="single"/>
          <w:lang w:val="es-MX"/>
        </w:rPr>
        <w:t>o</w:t>
      </w:r>
      <w:r w:rsidR="004A4506" w:rsidRPr="00EE7190">
        <w:rPr>
          <w:b/>
          <w:sz w:val="26"/>
          <w:szCs w:val="26"/>
          <w:u w:val="single"/>
          <w:lang w:val="es-MX"/>
        </w:rPr>
        <w:t xml:space="preserve">mo se discute en la Sección II de esta carta. </w:t>
      </w:r>
    </w:p>
    <w:p w:rsidR="004A4506" w:rsidRPr="00EE7190" w:rsidRDefault="004A4506" w:rsidP="001C11C0">
      <w:pPr>
        <w:autoSpaceDE w:val="0"/>
        <w:autoSpaceDN w:val="0"/>
        <w:adjustRightInd w:val="0"/>
        <w:ind w:firstLine="720"/>
        <w:jc w:val="both"/>
        <w:rPr>
          <w:b/>
          <w:sz w:val="26"/>
          <w:szCs w:val="26"/>
          <w:u w:val="single"/>
          <w:lang w:val="es-MX"/>
        </w:rPr>
      </w:pPr>
    </w:p>
    <w:p w:rsidR="006B4D47" w:rsidRPr="00EE7190" w:rsidRDefault="006B4D47" w:rsidP="001C11C0">
      <w:pPr>
        <w:jc w:val="both"/>
        <w:rPr>
          <w:sz w:val="26"/>
          <w:szCs w:val="26"/>
          <w:lang w:val="es-MX"/>
        </w:rPr>
      </w:pPr>
      <w:r w:rsidRPr="00EE7190">
        <w:rPr>
          <w:sz w:val="26"/>
          <w:szCs w:val="26"/>
          <w:lang w:val="es-MX"/>
        </w:rPr>
        <w:br w:type="page"/>
      </w:r>
    </w:p>
    <w:p w:rsidR="006B4D47" w:rsidRPr="00EE7190" w:rsidRDefault="008E5C39" w:rsidP="001C11C0">
      <w:pPr>
        <w:jc w:val="both"/>
        <w:rPr>
          <w:b/>
          <w:sz w:val="26"/>
          <w:szCs w:val="26"/>
          <w:lang w:val="es-MX"/>
        </w:rPr>
      </w:pPr>
      <w:r w:rsidRPr="00EE7190">
        <w:rPr>
          <w:b/>
          <w:sz w:val="26"/>
          <w:szCs w:val="26"/>
          <w:lang w:val="es-MX"/>
        </w:rPr>
        <w:lastRenderedPageBreak/>
        <w:t>TABLA DE CONTENIDOS</w:t>
      </w:r>
    </w:p>
    <w:p w:rsidR="006B4D47" w:rsidRPr="00EE7190" w:rsidRDefault="006B4D47" w:rsidP="001C11C0">
      <w:pPr>
        <w:jc w:val="both"/>
        <w:rPr>
          <w:sz w:val="26"/>
          <w:szCs w:val="26"/>
          <w:lang w:val="es-MX"/>
        </w:rPr>
      </w:pPr>
    </w:p>
    <w:p w:rsidR="00C84560" w:rsidRPr="00EE7190" w:rsidRDefault="00C84560" w:rsidP="001C11C0">
      <w:pPr>
        <w:pStyle w:val="TOC1"/>
        <w:jc w:val="both"/>
        <w:rPr>
          <w:rFonts w:eastAsiaTheme="minorEastAsia"/>
          <w:noProof/>
          <w:sz w:val="26"/>
          <w:szCs w:val="26"/>
          <w:lang w:val="es-MX"/>
        </w:rPr>
      </w:pPr>
      <w:r w:rsidRPr="00EE7190">
        <w:rPr>
          <w:sz w:val="26"/>
          <w:szCs w:val="26"/>
          <w:lang w:val="es-MX"/>
        </w:rPr>
        <w:fldChar w:fldCharType="begin"/>
      </w:r>
      <w:r w:rsidRPr="00EE7190">
        <w:rPr>
          <w:sz w:val="26"/>
          <w:szCs w:val="26"/>
          <w:lang w:val="es-MX"/>
        </w:rPr>
        <w:instrText xml:space="preserve"> TOC \o "1-2" \u </w:instrText>
      </w:r>
      <w:r w:rsidRPr="00EE7190">
        <w:rPr>
          <w:sz w:val="26"/>
          <w:szCs w:val="26"/>
          <w:lang w:val="es-MX"/>
        </w:rPr>
        <w:fldChar w:fldCharType="separate"/>
      </w:r>
      <w:r w:rsidRPr="00EE7190">
        <w:rPr>
          <w:noProof/>
          <w:sz w:val="26"/>
          <w:szCs w:val="26"/>
          <w:lang w:val="es-MX"/>
          <w14:scene3d>
            <w14:camera w14:prst="orthographicFront"/>
            <w14:lightRig w14:rig="threePt" w14:dir="t">
              <w14:rot w14:lat="0" w14:lon="0" w14:rev="0"/>
            </w14:lightRig>
          </w14:scene3d>
        </w:rPr>
        <w:t>I.</w:t>
      </w:r>
      <w:r w:rsidRPr="00EE7190">
        <w:rPr>
          <w:rFonts w:eastAsiaTheme="minorEastAsia"/>
          <w:noProof/>
          <w:sz w:val="26"/>
          <w:szCs w:val="26"/>
          <w:lang w:val="es-MX"/>
        </w:rPr>
        <w:tab/>
      </w:r>
      <w:r w:rsidR="008E5C39" w:rsidRPr="00EE7190">
        <w:rPr>
          <w:rFonts w:eastAsiaTheme="minorEastAsia"/>
          <w:noProof/>
          <w:sz w:val="26"/>
          <w:szCs w:val="26"/>
          <w:lang w:val="es-MX"/>
        </w:rPr>
        <w:t>Derechos de las Personas a No Ser Abusadas Sexualmente y</w:t>
      </w:r>
      <w:r w:rsidR="00554F5F" w:rsidRPr="00EE7190">
        <w:rPr>
          <w:rFonts w:eastAsiaTheme="minorEastAsia"/>
          <w:noProof/>
          <w:sz w:val="26"/>
          <w:szCs w:val="26"/>
          <w:lang w:val="es-MX"/>
        </w:rPr>
        <w:t xml:space="preserve"> a la P</w:t>
      </w:r>
      <w:r w:rsidR="008E5C39" w:rsidRPr="00EE7190">
        <w:rPr>
          <w:rFonts w:eastAsiaTheme="minorEastAsia"/>
          <w:noProof/>
          <w:sz w:val="26"/>
          <w:szCs w:val="26"/>
          <w:lang w:val="es-MX"/>
        </w:rPr>
        <w:t>rotección</w:t>
      </w:r>
      <w:r w:rsidR="00554F5F" w:rsidRPr="00EE7190">
        <w:rPr>
          <w:rFonts w:eastAsiaTheme="minorEastAsia"/>
          <w:noProof/>
          <w:sz w:val="26"/>
          <w:szCs w:val="26"/>
          <w:lang w:val="es-MX"/>
        </w:rPr>
        <w:t xml:space="preserve"> contra el</w:t>
      </w:r>
      <w:r w:rsidR="00EE7190">
        <w:rPr>
          <w:rFonts w:eastAsiaTheme="minorEastAsia"/>
          <w:noProof/>
          <w:sz w:val="26"/>
          <w:szCs w:val="26"/>
          <w:lang w:val="es-MX"/>
        </w:rPr>
        <w:t xml:space="preserve"> </w:t>
      </w:r>
      <w:r w:rsidR="008E5C39" w:rsidRPr="00EE7190">
        <w:rPr>
          <w:rFonts w:eastAsiaTheme="minorEastAsia"/>
          <w:noProof/>
          <w:sz w:val="26"/>
          <w:szCs w:val="26"/>
          <w:lang w:val="es-MX"/>
        </w:rPr>
        <w:t>Abuso Sexual</w:t>
      </w:r>
      <w:r w:rsidRPr="00EE7190">
        <w:rPr>
          <w:noProof/>
          <w:sz w:val="26"/>
          <w:szCs w:val="26"/>
          <w:lang w:val="es-MX"/>
        </w:rPr>
        <w:tab/>
      </w:r>
      <w:r w:rsidRPr="00EE7190">
        <w:rPr>
          <w:noProof/>
          <w:sz w:val="26"/>
          <w:szCs w:val="26"/>
          <w:lang w:val="es-MX"/>
        </w:rPr>
        <w:fldChar w:fldCharType="begin"/>
      </w:r>
      <w:r w:rsidRPr="00EE7190">
        <w:rPr>
          <w:noProof/>
          <w:sz w:val="26"/>
          <w:szCs w:val="26"/>
          <w:lang w:val="es-MX"/>
        </w:rPr>
        <w:instrText xml:space="preserve"> PAGEREF _Toc11662660 \h </w:instrText>
      </w:r>
      <w:r w:rsidRPr="00EE7190">
        <w:rPr>
          <w:noProof/>
          <w:sz w:val="26"/>
          <w:szCs w:val="26"/>
          <w:lang w:val="es-MX"/>
        </w:rPr>
      </w:r>
      <w:r w:rsidRPr="00EE7190">
        <w:rPr>
          <w:noProof/>
          <w:sz w:val="26"/>
          <w:szCs w:val="26"/>
          <w:lang w:val="es-MX"/>
        </w:rPr>
        <w:fldChar w:fldCharType="separate"/>
      </w:r>
      <w:r w:rsidR="005D4744" w:rsidRPr="00EE7190">
        <w:rPr>
          <w:noProof/>
          <w:sz w:val="26"/>
          <w:szCs w:val="26"/>
          <w:lang w:val="es-MX"/>
        </w:rPr>
        <w:t>1</w:t>
      </w:r>
      <w:r w:rsidRPr="00EE7190">
        <w:rPr>
          <w:noProof/>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 xml:space="preserve">A. </w:t>
      </w:r>
      <w:r w:rsidRPr="00EE7190">
        <w:rPr>
          <w:rFonts w:eastAsiaTheme="minorEastAsia"/>
          <w:bCs w:val="0"/>
          <w:sz w:val="26"/>
          <w:szCs w:val="26"/>
          <w:lang w:val="es-MX"/>
        </w:rPr>
        <w:tab/>
      </w:r>
      <w:r w:rsidR="008E5C39" w:rsidRPr="00EE7190">
        <w:rPr>
          <w:sz w:val="26"/>
          <w:szCs w:val="26"/>
          <w:lang w:val="es-MX"/>
        </w:rPr>
        <w:t>La Constitución de Estados Unidos</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_Toc11662661 \h </w:instrText>
      </w:r>
      <w:r w:rsidRPr="00EE7190">
        <w:rPr>
          <w:sz w:val="26"/>
          <w:szCs w:val="26"/>
          <w:lang w:val="es-MX"/>
        </w:rPr>
      </w:r>
      <w:r w:rsidRPr="00EE7190">
        <w:rPr>
          <w:sz w:val="26"/>
          <w:szCs w:val="26"/>
          <w:lang w:val="es-MX"/>
        </w:rPr>
        <w:fldChar w:fldCharType="separate"/>
      </w:r>
      <w:r w:rsidR="005D4744" w:rsidRPr="00EE7190">
        <w:rPr>
          <w:sz w:val="26"/>
          <w:szCs w:val="26"/>
          <w:lang w:val="es-MX"/>
        </w:rPr>
        <w:t>1</w:t>
      </w:r>
      <w:r w:rsidRPr="00EE7190">
        <w:rPr>
          <w:sz w:val="26"/>
          <w:szCs w:val="26"/>
          <w:lang w:val="es-MX"/>
        </w:rPr>
        <w:fldChar w:fldCharType="end"/>
      </w:r>
    </w:p>
    <w:p w:rsidR="00C84560" w:rsidRPr="00EE7190" w:rsidRDefault="00C84560" w:rsidP="001C11C0">
      <w:pPr>
        <w:pStyle w:val="TOC2"/>
        <w:ind w:left="900" w:hanging="660"/>
        <w:jc w:val="both"/>
        <w:rPr>
          <w:rFonts w:eastAsiaTheme="minorEastAsia"/>
          <w:bCs w:val="0"/>
          <w:sz w:val="26"/>
          <w:szCs w:val="26"/>
          <w:lang w:val="es-MX"/>
        </w:rPr>
      </w:pPr>
      <w:r w:rsidRPr="00EE7190">
        <w:rPr>
          <w:sz w:val="26"/>
          <w:szCs w:val="26"/>
          <w:lang w:val="es-MX"/>
        </w:rPr>
        <w:t xml:space="preserve">B. </w:t>
      </w:r>
      <w:r w:rsidRPr="00EE7190">
        <w:rPr>
          <w:rFonts w:eastAsiaTheme="minorEastAsia"/>
          <w:bCs w:val="0"/>
          <w:sz w:val="26"/>
          <w:szCs w:val="26"/>
          <w:lang w:val="es-MX"/>
        </w:rPr>
        <w:tab/>
      </w:r>
      <w:r w:rsidR="008E5C39" w:rsidRPr="00EE7190">
        <w:rPr>
          <w:rFonts w:eastAsiaTheme="minorEastAsia"/>
          <w:bCs w:val="0"/>
          <w:sz w:val="26"/>
          <w:szCs w:val="26"/>
          <w:lang w:val="es-MX"/>
        </w:rPr>
        <w:t>Ley de Eliminación de Violacion</w:t>
      </w:r>
      <w:r w:rsidR="00524E44" w:rsidRPr="00EE7190">
        <w:rPr>
          <w:rFonts w:eastAsiaTheme="minorEastAsia"/>
          <w:bCs w:val="0"/>
          <w:sz w:val="26"/>
          <w:szCs w:val="26"/>
          <w:lang w:val="es-MX"/>
        </w:rPr>
        <w:t xml:space="preserve">es Penitenciarias (PREA), </w:t>
      </w:r>
      <w:r w:rsidR="008E5C39" w:rsidRPr="00EE7190">
        <w:rPr>
          <w:rFonts w:eastAsiaTheme="minorEastAsia"/>
          <w:bCs w:val="0"/>
          <w:sz w:val="26"/>
          <w:szCs w:val="26"/>
          <w:lang w:val="es-MX"/>
        </w:rPr>
        <w:t>Orden 125 del Departamento de Corre</w:t>
      </w:r>
      <w:r w:rsidR="00524E44" w:rsidRPr="00EE7190">
        <w:rPr>
          <w:rFonts w:eastAsiaTheme="minorEastAsia"/>
          <w:bCs w:val="0"/>
          <w:sz w:val="26"/>
          <w:szCs w:val="26"/>
          <w:lang w:val="es-MX"/>
        </w:rPr>
        <w:t>cciones de Arizona y Reglamentos</w:t>
      </w:r>
      <w:r w:rsidR="00EE7190">
        <w:rPr>
          <w:rFonts w:eastAsiaTheme="minorEastAsia"/>
          <w:bCs w:val="0"/>
          <w:sz w:val="26"/>
          <w:szCs w:val="26"/>
          <w:lang w:val="es-MX"/>
        </w:rPr>
        <w:t xml:space="preserve"> </w:t>
      </w:r>
      <w:r w:rsidR="00524E44" w:rsidRPr="00EE7190">
        <w:rPr>
          <w:rFonts w:eastAsiaTheme="minorEastAsia"/>
          <w:bCs w:val="0"/>
          <w:sz w:val="26"/>
          <w:szCs w:val="26"/>
          <w:lang w:val="es-MX"/>
        </w:rPr>
        <w:t>Disciplinario</w:t>
      </w:r>
      <w:r w:rsidR="008E5C39" w:rsidRPr="00EE7190">
        <w:rPr>
          <w:rFonts w:eastAsiaTheme="minorEastAsia"/>
          <w:bCs w:val="0"/>
          <w:sz w:val="26"/>
          <w:szCs w:val="26"/>
          <w:lang w:val="es-MX"/>
        </w:rPr>
        <w:t>s.</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_Toc11662662 \h </w:instrText>
      </w:r>
      <w:r w:rsidRPr="00EE7190">
        <w:rPr>
          <w:sz w:val="26"/>
          <w:szCs w:val="26"/>
          <w:lang w:val="es-MX"/>
        </w:rPr>
      </w:r>
      <w:r w:rsidRPr="00EE7190">
        <w:rPr>
          <w:sz w:val="26"/>
          <w:szCs w:val="26"/>
          <w:lang w:val="es-MX"/>
        </w:rPr>
        <w:fldChar w:fldCharType="separate"/>
      </w:r>
      <w:r w:rsidR="005D4744" w:rsidRPr="00EE7190">
        <w:rPr>
          <w:sz w:val="26"/>
          <w:szCs w:val="26"/>
          <w:lang w:val="es-MX"/>
        </w:rPr>
        <w:t>2</w:t>
      </w:r>
      <w:r w:rsidRPr="00EE7190">
        <w:rPr>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C.</w:t>
      </w:r>
      <w:r w:rsidRPr="00EE7190">
        <w:rPr>
          <w:rFonts w:eastAsiaTheme="minorEastAsia"/>
          <w:bCs w:val="0"/>
          <w:sz w:val="26"/>
          <w:szCs w:val="26"/>
          <w:lang w:val="es-MX"/>
        </w:rPr>
        <w:tab/>
      </w:r>
      <w:r w:rsidR="0031276A" w:rsidRPr="00EE7190">
        <w:rPr>
          <w:rFonts w:eastAsiaTheme="minorEastAsia"/>
          <w:bCs w:val="0"/>
          <w:sz w:val="26"/>
          <w:szCs w:val="26"/>
          <w:lang w:val="es-MX"/>
        </w:rPr>
        <w:t xml:space="preserve">Legislación Penal </w:t>
      </w:r>
      <w:r w:rsidR="008E5C39" w:rsidRPr="00EE7190">
        <w:rPr>
          <w:rFonts w:eastAsiaTheme="minorEastAsia"/>
          <w:bCs w:val="0"/>
          <w:sz w:val="26"/>
          <w:szCs w:val="26"/>
          <w:lang w:val="es-MX"/>
        </w:rPr>
        <w:t xml:space="preserve">de </w:t>
      </w:r>
      <w:r w:rsidRPr="00EE7190">
        <w:rPr>
          <w:sz w:val="26"/>
          <w:szCs w:val="26"/>
          <w:lang w:val="es-MX"/>
        </w:rPr>
        <w:t xml:space="preserve">Arizona </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_Toc11662663 \h </w:instrText>
      </w:r>
      <w:r w:rsidRPr="00EE7190">
        <w:rPr>
          <w:sz w:val="26"/>
          <w:szCs w:val="26"/>
          <w:lang w:val="es-MX"/>
        </w:rPr>
      </w:r>
      <w:r w:rsidRPr="00EE7190">
        <w:rPr>
          <w:sz w:val="26"/>
          <w:szCs w:val="26"/>
          <w:lang w:val="es-MX"/>
        </w:rPr>
        <w:fldChar w:fldCharType="separate"/>
      </w:r>
      <w:r w:rsidR="005D4744" w:rsidRPr="00EE7190">
        <w:rPr>
          <w:sz w:val="26"/>
          <w:szCs w:val="26"/>
          <w:lang w:val="es-MX"/>
        </w:rPr>
        <w:t>4</w:t>
      </w:r>
      <w:r w:rsidRPr="00EE7190">
        <w:rPr>
          <w:sz w:val="26"/>
          <w:szCs w:val="26"/>
          <w:lang w:val="es-MX"/>
        </w:rPr>
        <w:fldChar w:fldCharType="end"/>
      </w:r>
    </w:p>
    <w:p w:rsidR="00C84560" w:rsidRPr="00EE7190" w:rsidRDefault="00C84560" w:rsidP="001C11C0">
      <w:pPr>
        <w:pStyle w:val="TOC1"/>
        <w:jc w:val="both"/>
        <w:rPr>
          <w:rFonts w:eastAsiaTheme="minorEastAsia"/>
          <w:noProof/>
          <w:sz w:val="26"/>
          <w:szCs w:val="26"/>
          <w:lang w:val="es-MX"/>
        </w:rPr>
      </w:pPr>
      <w:r w:rsidRPr="00EE7190">
        <w:rPr>
          <w:noProof/>
          <w:sz w:val="26"/>
          <w:szCs w:val="26"/>
          <w:lang w:val="es-MX"/>
          <w14:scene3d>
            <w14:camera w14:prst="orthographicFront"/>
            <w14:lightRig w14:rig="threePt" w14:dir="t">
              <w14:rot w14:lat="0" w14:lon="0" w14:rev="0"/>
            </w14:lightRig>
          </w14:scene3d>
        </w:rPr>
        <w:t>II.</w:t>
      </w:r>
      <w:r w:rsidRPr="00EE7190">
        <w:rPr>
          <w:rFonts w:eastAsiaTheme="minorEastAsia"/>
          <w:noProof/>
          <w:sz w:val="26"/>
          <w:szCs w:val="26"/>
          <w:lang w:val="es-MX"/>
        </w:rPr>
        <w:tab/>
      </w:r>
      <w:r w:rsidR="008E5C39" w:rsidRPr="00EE7190">
        <w:rPr>
          <w:noProof/>
          <w:sz w:val="26"/>
          <w:szCs w:val="26"/>
          <w:lang w:val="es-MX"/>
        </w:rPr>
        <w:t>Acciones Inmediatas para</w:t>
      </w:r>
      <w:r w:rsidR="00EE7190">
        <w:rPr>
          <w:noProof/>
          <w:sz w:val="26"/>
          <w:szCs w:val="26"/>
          <w:lang w:val="es-MX"/>
        </w:rPr>
        <w:t xml:space="preserve"> </w:t>
      </w:r>
      <w:r w:rsidR="008E5C39" w:rsidRPr="00EE7190">
        <w:rPr>
          <w:noProof/>
          <w:sz w:val="26"/>
          <w:szCs w:val="26"/>
          <w:lang w:val="es-MX"/>
        </w:rPr>
        <w:t>proteger la Salud y la Seguridad</w:t>
      </w:r>
      <w:r w:rsidRPr="00EE7190">
        <w:rPr>
          <w:noProof/>
          <w:sz w:val="26"/>
          <w:szCs w:val="26"/>
          <w:lang w:val="es-MX"/>
        </w:rPr>
        <w:tab/>
      </w:r>
      <w:r w:rsidRPr="00EE7190">
        <w:rPr>
          <w:noProof/>
          <w:sz w:val="26"/>
          <w:szCs w:val="26"/>
          <w:lang w:val="es-MX"/>
        </w:rPr>
        <w:fldChar w:fldCharType="begin"/>
      </w:r>
      <w:r w:rsidRPr="00EE7190">
        <w:rPr>
          <w:noProof/>
          <w:sz w:val="26"/>
          <w:szCs w:val="26"/>
          <w:lang w:val="es-MX"/>
        </w:rPr>
        <w:instrText xml:space="preserve"> PAGEREF _Toc11662664 \h </w:instrText>
      </w:r>
      <w:r w:rsidRPr="00EE7190">
        <w:rPr>
          <w:noProof/>
          <w:sz w:val="26"/>
          <w:szCs w:val="26"/>
          <w:lang w:val="es-MX"/>
        </w:rPr>
      </w:r>
      <w:r w:rsidRPr="00EE7190">
        <w:rPr>
          <w:noProof/>
          <w:sz w:val="26"/>
          <w:szCs w:val="26"/>
          <w:lang w:val="es-MX"/>
        </w:rPr>
        <w:fldChar w:fldCharType="separate"/>
      </w:r>
      <w:r w:rsidR="005D4744" w:rsidRPr="00EE7190">
        <w:rPr>
          <w:noProof/>
          <w:sz w:val="26"/>
          <w:szCs w:val="26"/>
          <w:lang w:val="es-MX"/>
        </w:rPr>
        <w:t>4</w:t>
      </w:r>
      <w:r w:rsidRPr="00EE7190">
        <w:rPr>
          <w:noProof/>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 xml:space="preserve">A. </w:t>
      </w:r>
      <w:r w:rsidRPr="00EE7190">
        <w:rPr>
          <w:rFonts w:eastAsiaTheme="minorEastAsia"/>
          <w:bCs w:val="0"/>
          <w:sz w:val="26"/>
          <w:szCs w:val="26"/>
          <w:lang w:val="es-MX"/>
        </w:rPr>
        <w:tab/>
      </w:r>
      <w:r w:rsidR="00064E5D" w:rsidRPr="00EE7190">
        <w:rPr>
          <w:rFonts w:eastAsiaTheme="minorEastAsia"/>
          <w:bCs w:val="0"/>
          <w:sz w:val="26"/>
          <w:szCs w:val="26"/>
          <w:lang w:val="es-MX"/>
        </w:rPr>
        <w:t>Reportar</w:t>
      </w:r>
      <w:r w:rsidR="008E5C39" w:rsidRPr="00EE7190">
        <w:rPr>
          <w:rFonts w:eastAsiaTheme="minorEastAsia"/>
          <w:bCs w:val="0"/>
          <w:sz w:val="26"/>
          <w:szCs w:val="26"/>
          <w:lang w:val="es-MX"/>
        </w:rPr>
        <w:t xml:space="preserve"> una Agresión Sexual</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_Toc11662665 \h </w:instrText>
      </w:r>
      <w:r w:rsidRPr="00EE7190">
        <w:rPr>
          <w:sz w:val="26"/>
          <w:szCs w:val="26"/>
          <w:lang w:val="es-MX"/>
        </w:rPr>
      </w:r>
      <w:r w:rsidRPr="00EE7190">
        <w:rPr>
          <w:sz w:val="26"/>
          <w:szCs w:val="26"/>
          <w:lang w:val="es-MX"/>
        </w:rPr>
        <w:fldChar w:fldCharType="separate"/>
      </w:r>
      <w:r w:rsidR="005D4744" w:rsidRPr="00EE7190">
        <w:rPr>
          <w:sz w:val="26"/>
          <w:szCs w:val="26"/>
          <w:lang w:val="es-MX"/>
        </w:rPr>
        <w:t>4</w:t>
      </w:r>
      <w:r w:rsidRPr="00EE7190">
        <w:rPr>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B.</w:t>
      </w:r>
      <w:r w:rsidRPr="00EE7190">
        <w:rPr>
          <w:rFonts w:eastAsiaTheme="minorEastAsia"/>
          <w:bCs w:val="0"/>
          <w:sz w:val="26"/>
          <w:szCs w:val="26"/>
          <w:lang w:val="es-MX"/>
        </w:rPr>
        <w:tab/>
      </w:r>
      <w:r w:rsidR="00064E5D" w:rsidRPr="00EE7190">
        <w:rPr>
          <w:rFonts w:eastAsiaTheme="minorEastAsia"/>
          <w:bCs w:val="0"/>
          <w:sz w:val="26"/>
          <w:szCs w:val="26"/>
          <w:lang w:val="es-MX"/>
        </w:rPr>
        <w:t>Buscar</w:t>
      </w:r>
      <w:r w:rsidR="008E5C39" w:rsidRPr="00EE7190">
        <w:rPr>
          <w:rFonts w:eastAsiaTheme="minorEastAsia"/>
          <w:bCs w:val="0"/>
          <w:sz w:val="26"/>
          <w:szCs w:val="26"/>
          <w:lang w:val="es-MX"/>
        </w:rPr>
        <w:t xml:space="preserve"> Atención </w:t>
      </w:r>
      <w:r w:rsidR="00064E5D" w:rsidRPr="00EE7190">
        <w:rPr>
          <w:rFonts w:eastAsiaTheme="minorEastAsia"/>
          <w:bCs w:val="0"/>
          <w:sz w:val="26"/>
          <w:szCs w:val="26"/>
          <w:lang w:val="es-MX"/>
        </w:rPr>
        <w:t>Médica y de Salud Mental</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_Toc11662666 \h </w:instrText>
      </w:r>
      <w:r w:rsidRPr="00EE7190">
        <w:rPr>
          <w:sz w:val="26"/>
          <w:szCs w:val="26"/>
          <w:lang w:val="es-MX"/>
        </w:rPr>
      </w:r>
      <w:r w:rsidRPr="00EE7190">
        <w:rPr>
          <w:sz w:val="26"/>
          <w:szCs w:val="26"/>
          <w:lang w:val="es-MX"/>
        </w:rPr>
        <w:fldChar w:fldCharType="separate"/>
      </w:r>
      <w:r w:rsidR="005D4744" w:rsidRPr="00EE7190">
        <w:rPr>
          <w:sz w:val="26"/>
          <w:szCs w:val="26"/>
          <w:lang w:val="es-MX"/>
        </w:rPr>
        <w:t>5</w:t>
      </w:r>
      <w:r w:rsidRPr="00EE7190">
        <w:rPr>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 xml:space="preserve">C. </w:t>
      </w:r>
      <w:r w:rsidRPr="00EE7190">
        <w:rPr>
          <w:rFonts w:eastAsiaTheme="minorEastAsia"/>
          <w:bCs w:val="0"/>
          <w:sz w:val="26"/>
          <w:szCs w:val="26"/>
          <w:lang w:val="es-MX"/>
        </w:rPr>
        <w:tab/>
      </w:r>
      <w:r w:rsidR="00064E5D" w:rsidRPr="00EE7190">
        <w:rPr>
          <w:rFonts w:eastAsiaTheme="minorEastAsia"/>
          <w:bCs w:val="0"/>
          <w:sz w:val="26"/>
          <w:szCs w:val="26"/>
          <w:lang w:val="es-MX"/>
        </w:rPr>
        <w:t>Ingreso a Vivienda de Protección</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_Toc11662667 \h </w:instrText>
      </w:r>
      <w:r w:rsidRPr="00EE7190">
        <w:rPr>
          <w:sz w:val="26"/>
          <w:szCs w:val="26"/>
          <w:lang w:val="es-MX"/>
        </w:rPr>
      </w:r>
      <w:r w:rsidRPr="00EE7190">
        <w:rPr>
          <w:sz w:val="26"/>
          <w:szCs w:val="26"/>
          <w:lang w:val="es-MX"/>
        </w:rPr>
        <w:fldChar w:fldCharType="separate"/>
      </w:r>
      <w:r w:rsidR="005D4744" w:rsidRPr="00EE7190">
        <w:rPr>
          <w:sz w:val="26"/>
          <w:szCs w:val="26"/>
          <w:lang w:val="es-MX"/>
        </w:rPr>
        <w:t>6</w:t>
      </w:r>
      <w:r w:rsidRPr="00EE7190">
        <w:rPr>
          <w:sz w:val="26"/>
          <w:szCs w:val="26"/>
          <w:lang w:val="es-MX"/>
        </w:rPr>
        <w:fldChar w:fldCharType="end"/>
      </w:r>
    </w:p>
    <w:p w:rsidR="00C84560" w:rsidRPr="00EE7190" w:rsidRDefault="00C84560" w:rsidP="001C11C0">
      <w:pPr>
        <w:pStyle w:val="TOC1"/>
        <w:jc w:val="both"/>
        <w:rPr>
          <w:rFonts w:eastAsiaTheme="minorEastAsia"/>
          <w:noProof/>
          <w:sz w:val="26"/>
          <w:szCs w:val="26"/>
          <w:lang w:val="es-MX"/>
        </w:rPr>
      </w:pPr>
      <w:r w:rsidRPr="00EE7190">
        <w:rPr>
          <w:noProof/>
          <w:sz w:val="26"/>
          <w:szCs w:val="26"/>
          <w:lang w:val="es-MX"/>
          <w14:scene3d>
            <w14:camera w14:prst="orthographicFront"/>
            <w14:lightRig w14:rig="threePt" w14:dir="t">
              <w14:rot w14:lat="0" w14:lon="0" w14:rev="0"/>
            </w14:lightRig>
          </w14:scene3d>
        </w:rPr>
        <w:t>III.</w:t>
      </w:r>
      <w:r w:rsidRPr="00EE7190">
        <w:rPr>
          <w:rFonts w:eastAsiaTheme="minorEastAsia"/>
          <w:noProof/>
          <w:sz w:val="26"/>
          <w:szCs w:val="26"/>
          <w:lang w:val="es-MX"/>
        </w:rPr>
        <w:tab/>
      </w:r>
      <w:r w:rsidR="00064E5D" w:rsidRPr="00EE7190">
        <w:rPr>
          <w:rFonts w:eastAsiaTheme="minorEastAsia"/>
          <w:noProof/>
          <w:sz w:val="26"/>
          <w:szCs w:val="26"/>
          <w:lang w:val="es-MX"/>
        </w:rPr>
        <w:t>Más Acciones para Conseguir Protección o Reparar Malas Conductas Pasadas</w:t>
      </w:r>
      <w:r w:rsidRPr="00EE7190">
        <w:rPr>
          <w:noProof/>
          <w:sz w:val="26"/>
          <w:szCs w:val="26"/>
          <w:lang w:val="es-MX"/>
        </w:rPr>
        <w:tab/>
      </w:r>
      <w:r w:rsidRPr="00EE7190">
        <w:rPr>
          <w:noProof/>
          <w:sz w:val="26"/>
          <w:szCs w:val="26"/>
          <w:lang w:val="es-MX"/>
        </w:rPr>
        <w:fldChar w:fldCharType="begin"/>
      </w:r>
      <w:r w:rsidRPr="00EE7190">
        <w:rPr>
          <w:noProof/>
          <w:sz w:val="26"/>
          <w:szCs w:val="26"/>
          <w:lang w:val="es-MX"/>
        </w:rPr>
        <w:instrText xml:space="preserve"> PAGEREF _Toc11662668 \h </w:instrText>
      </w:r>
      <w:r w:rsidRPr="00EE7190">
        <w:rPr>
          <w:noProof/>
          <w:sz w:val="26"/>
          <w:szCs w:val="26"/>
          <w:lang w:val="es-MX"/>
        </w:rPr>
      </w:r>
      <w:r w:rsidRPr="00EE7190">
        <w:rPr>
          <w:noProof/>
          <w:sz w:val="26"/>
          <w:szCs w:val="26"/>
          <w:lang w:val="es-MX"/>
        </w:rPr>
        <w:fldChar w:fldCharType="separate"/>
      </w:r>
      <w:r w:rsidR="005D4744" w:rsidRPr="00EE7190">
        <w:rPr>
          <w:noProof/>
          <w:sz w:val="26"/>
          <w:szCs w:val="26"/>
          <w:lang w:val="es-MX"/>
        </w:rPr>
        <w:t>8</w:t>
      </w:r>
      <w:r w:rsidRPr="00EE7190">
        <w:rPr>
          <w:noProof/>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A.</w:t>
      </w:r>
      <w:r w:rsidRPr="00EE7190">
        <w:rPr>
          <w:rFonts w:eastAsiaTheme="minorEastAsia"/>
          <w:bCs w:val="0"/>
          <w:sz w:val="26"/>
          <w:szCs w:val="26"/>
          <w:lang w:val="es-MX"/>
        </w:rPr>
        <w:tab/>
      </w:r>
      <w:r w:rsidR="00064E5D" w:rsidRPr="00EE7190">
        <w:rPr>
          <w:rFonts w:eastAsiaTheme="minorEastAsia"/>
          <w:bCs w:val="0"/>
          <w:sz w:val="26"/>
          <w:szCs w:val="26"/>
          <w:lang w:val="es-MX"/>
        </w:rPr>
        <w:t>Presentar una Queja</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_Toc11662669 \h </w:instrText>
      </w:r>
      <w:r w:rsidRPr="00EE7190">
        <w:rPr>
          <w:sz w:val="26"/>
          <w:szCs w:val="26"/>
          <w:lang w:val="es-MX"/>
        </w:rPr>
      </w:r>
      <w:r w:rsidRPr="00EE7190">
        <w:rPr>
          <w:sz w:val="26"/>
          <w:szCs w:val="26"/>
          <w:lang w:val="es-MX"/>
        </w:rPr>
        <w:fldChar w:fldCharType="separate"/>
      </w:r>
      <w:r w:rsidR="005D4744" w:rsidRPr="00EE7190">
        <w:rPr>
          <w:sz w:val="26"/>
          <w:szCs w:val="26"/>
          <w:lang w:val="es-MX"/>
        </w:rPr>
        <w:t>8</w:t>
      </w:r>
      <w:r w:rsidRPr="00EE7190">
        <w:rPr>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B.</w:t>
      </w:r>
      <w:r w:rsidRPr="00EE7190">
        <w:rPr>
          <w:rFonts w:eastAsiaTheme="minorEastAsia"/>
          <w:bCs w:val="0"/>
          <w:sz w:val="26"/>
          <w:szCs w:val="26"/>
          <w:lang w:val="es-MX"/>
        </w:rPr>
        <w:tab/>
      </w:r>
      <w:r w:rsidR="00064E5D" w:rsidRPr="00EE7190">
        <w:rPr>
          <w:rFonts w:eastAsiaTheme="minorEastAsia"/>
          <w:bCs w:val="0"/>
          <w:sz w:val="26"/>
          <w:szCs w:val="26"/>
          <w:lang w:val="es-MX"/>
        </w:rPr>
        <w:t>Pedir Otro Tipo de Asistencia o Investigaciones</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_Toc11662670 \h </w:instrText>
      </w:r>
      <w:r w:rsidRPr="00EE7190">
        <w:rPr>
          <w:sz w:val="26"/>
          <w:szCs w:val="26"/>
          <w:lang w:val="es-MX"/>
        </w:rPr>
      </w:r>
      <w:r w:rsidRPr="00EE7190">
        <w:rPr>
          <w:sz w:val="26"/>
          <w:szCs w:val="26"/>
          <w:lang w:val="es-MX"/>
        </w:rPr>
        <w:fldChar w:fldCharType="separate"/>
      </w:r>
      <w:r w:rsidR="005D4744" w:rsidRPr="00EE7190">
        <w:rPr>
          <w:sz w:val="26"/>
          <w:szCs w:val="26"/>
          <w:lang w:val="es-MX"/>
        </w:rPr>
        <w:t>9</w:t>
      </w:r>
      <w:r w:rsidRPr="00EE7190">
        <w:rPr>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C.</w:t>
      </w:r>
      <w:r w:rsidRPr="00EE7190">
        <w:rPr>
          <w:rFonts w:eastAsiaTheme="minorEastAsia"/>
          <w:bCs w:val="0"/>
          <w:sz w:val="26"/>
          <w:szCs w:val="26"/>
          <w:lang w:val="es-MX"/>
        </w:rPr>
        <w:tab/>
      </w:r>
      <w:r w:rsidR="00064E5D" w:rsidRPr="00EE7190">
        <w:rPr>
          <w:rFonts w:eastAsiaTheme="minorEastAsia"/>
          <w:bCs w:val="0"/>
          <w:sz w:val="26"/>
          <w:szCs w:val="26"/>
          <w:lang w:val="es-MX"/>
        </w:rPr>
        <w:t>Presentar una Demanda en la Corte Estatal o Federal</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_Toc11662671 \h </w:instrText>
      </w:r>
      <w:r w:rsidRPr="00EE7190">
        <w:rPr>
          <w:sz w:val="26"/>
          <w:szCs w:val="26"/>
          <w:lang w:val="es-MX"/>
        </w:rPr>
      </w:r>
      <w:r w:rsidRPr="00EE7190">
        <w:rPr>
          <w:sz w:val="26"/>
          <w:szCs w:val="26"/>
          <w:lang w:val="es-MX"/>
        </w:rPr>
        <w:fldChar w:fldCharType="separate"/>
      </w:r>
      <w:r w:rsidR="005D4744" w:rsidRPr="00EE7190">
        <w:rPr>
          <w:sz w:val="26"/>
          <w:szCs w:val="26"/>
          <w:lang w:val="es-MX"/>
        </w:rPr>
        <w:t>9</w:t>
      </w:r>
      <w:r w:rsidRPr="00EE7190">
        <w:rPr>
          <w:sz w:val="26"/>
          <w:szCs w:val="26"/>
          <w:lang w:val="es-MX"/>
        </w:rPr>
        <w:fldChar w:fldCharType="end"/>
      </w:r>
    </w:p>
    <w:p w:rsidR="00C84560" w:rsidRPr="00EE7190" w:rsidRDefault="00C84560" w:rsidP="001C11C0">
      <w:pPr>
        <w:pStyle w:val="TOC2"/>
        <w:jc w:val="both"/>
        <w:rPr>
          <w:rFonts w:eastAsiaTheme="minorEastAsia"/>
          <w:bCs w:val="0"/>
          <w:sz w:val="26"/>
          <w:szCs w:val="26"/>
          <w:lang w:val="es-MX"/>
        </w:rPr>
      </w:pPr>
      <w:r w:rsidRPr="00EE7190">
        <w:rPr>
          <w:sz w:val="26"/>
          <w:szCs w:val="26"/>
          <w:lang w:val="es-MX"/>
        </w:rPr>
        <w:t>D.</w:t>
      </w:r>
      <w:r w:rsidRPr="00EE7190">
        <w:rPr>
          <w:rFonts w:eastAsiaTheme="minorEastAsia"/>
          <w:bCs w:val="0"/>
          <w:sz w:val="26"/>
          <w:szCs w:val="26"/>
          <w:lang w:val="es-MX"/>
        </w:rPr>
        <w:tab/>
      </w:r>
      <w:r w:rsidR="00064E5D" w:rsidRPr="00EE7190">
        <w:rPr>
          <w:rFonts w:eastAsiaTheme="minorEastAsia"/>
          <w:bCs w:val="0"/>
          <w:sz w:val="26"/>
          <w:szCs w:val="26"/>
          <w:lang w:val="es-MX"/>
        </w:rPr>
        <w:t>Otros Recursos</w:t>
      </w:r>
      <w:r w:rsidRPr="00EE7190">
        <w:rPr>
          <w:sz w:val="26"/>
          <w:szCs w:val="26"/>
          <w:lang w:val="es-MX"/>
        </w:rPr>
        <w:tab/>
      </w:r>
      <w:r w:rsidRPr="00EE7190">
        <w:rPr>
          <w:sz w:val="26"/>
          <w:szCs w:val="26"/>
          <w:lang w:val="es-MX"/>
        </w:rPr>
        <w:fldChar w:fldCharType="begin"/>
      </w:r>
      <w:r w:rsidRPr="00EE7190">
        <w:rPr>
          <w:sz w:val="26"/>
          <w:szCs w:val="26"/>
          <w:lang w:val="es-MX"/>
        </w:rPr>
        <w:instrText xml:space="preserve"> PAGEREF _Toc11662672 \h </w:instrText>
      </w:r>
      <w:r w:rsidRPr="00EE7190">
        <w:rPr>
          <w:sz w:val="26"/>
          <w:szCs w:val="26"/>
          <w:lang w:val="es-MX"/>
        </w:rPr>
      </w:r>
      <w:r w:rsidRPr="00EE7190">
        <w:rPr>
          <w:sz w:val="26"/>
          <w:szCs w:val="26"/>
          <w:lang w:val="es-MX"/>
        </w:rPr>
        <w:fldChar w:fldCharType="separate"/>
      </w:r>
      <w:r w:rsidR="005D4744" w:rsidRPr="00EE7190">
        <w:rPr>
          <w:sz w:val="26"/>
          <w:szCs w:val="26"/>
          <w:lang w:val="es-MX"/>
        </w:rPr>
        <w:t>11</w:t>
      </w:r>
      <w:r w:rsidRPr="00EE7190">
        <w:rPr>
          <w:sz w:val="26"/>
          <w:szCs w:val="26"/>
          <w:lang w:val="es-MX"/>
        </w:rPr>
        <w:fldChar w:fldCharType="end"/>
      </w:r>
    </w:p>
    <w:p w:rsidR="00F162F7" w:rsidRPr="00EE7190" w:rsidRDefault="00C84560" w:rsidP="001C11C0">
      <w:pPr>
        <w:jc w:val="both"/>
        <w:rPr>
          <w:sz w:val="26"/>
          <w:szCs w:val="26"/>
          <w:lang w:val="es-MX"/>
        </w:rPr>
      </w:pPr>
      <w:r w:rsidRPr="00EE7190">
        <w:rPr>
          <w:sz w:val="26"/>
          <w:szCs w:val="26"/>
          <w:lang w:val="es-MX"/>
        </w:rPr>
        <w:fldChar w:fldCharType="end"/>
      </w:r>
    </w:p>
    <w:p w:rsidR="00F162F7" w:rsidRPr="00EE7190" w:rsidRDefault="00F162F7" w:rsidP="001C11C0">
      <w:pPr>
        <w:jc w:val="both"/>
        <w:rPr>
          <w:sz w:val="26"/>
          <w:szCs w:val="26"/>
          <w:lang w:val="es-MX"/>
        </w:rPr>
      </w:pPr>
    </w:p>
    <w:p w:rsidR="00E14525" w:rsidRPr="00EE7190" w:rsidRDefault="00E14525" w:rsidP="001C11C0">
      <w:pPr>
        <w:jc w:val="both"/>
        <w:rPr>
          <w:sz w:val="26"/>
          <w:szCs w:val="26"/>
          <w:lang w:val="es-MX"/>
        </w:rPr>
      </w:pPr>
    </w:p>
    <w:p w:rsidR="00E14525" w:rsidRPr="00EE7190" w:rsidRDefault="00E14525" w:rsidP="001C11C0">
      <w:pPr>
        <w:jc w:val="both"/>
        <w:rPr>
          <w:sz w:val="26"/>
          <w:szCs w:val="26"/>
          <w:lang w:val="es-MX"/>
        </w:rPr>
        <w:sectPr w:rsidR="00E14525" w:rsidRPr="00EE7190" w:rsidSect="006B4D47">
          <w:footerReference w:type="default" r:id="rId10"/>
          <w:footerReference w:type="first" r:id="rId11"/>
          <w:pgSz w:w="12240" w:h="15840" w:code="1"/>
          <w:pgMar w:top="1440" w:right="1440" w:bottom="1440" w:left="1440" w:header="864" w:footer="144" w:gutter="0"/>
          <w:cols w:space="720"/>
          <w:titlePg/>
          <w:docGrid w:linePitch="360"/>
        </w:sectPr>
      </w:pPr>
    </w:p>
    <w:p w:rsidR="00064E5D" w:rsidRPr="00EE7190" w:rsidRDefault="00064E5D" w:rsidP="001C11C0">
      <w:pPr>
        <w:pStyle w:val="BII"/>
        <w:jc w:val="both"/>
        <w:outlineLvl w:val="0"/>
        <w:rPr>
          <w:rFonts w:cs="Times New Roman"/>
          <w:lang w:val="es-MX"/>
        </w:rPr>
      </w:pPr>
      <w:bookmarkStart w:id="0" w:name="_Toc11662500"/>
      <w:bookmarkStart w:id="1" w:name="_Toc11662660"/>
      <w:r w:rsidRPr="00EE7190">
        <w:rPr>
          <w:rFonts w:eastAsiaTheme="minorEastAsia" w:cs="Times New Roman"/>
          <w:noProof/>
          <w:szCs w:val="26"/>
          <w:lang w:val="es-MX"/>
        </w:rPr>
        <w:lastRenderedPageBreak/>
        <w:t>Derechos de las Personas a No Ser Abusadas Sexualmente y</w:t>
      </w:r>
      <w:r w:rsidR="00554F5F" w:rsidRPr="00EE7190">
        <w:rPr>
          <w:rFonts w:eastAsiaTheme="minorEastAsia" w:cs="Times New Roman"/>
          <w:noProof/>
          <w:szCs w:val="26"/>
          <w:lang w:val="es-MX"/>
        </w:rPr>
        <w:t xml:space="preserve"> a la Protección Contra</w:t>
      </w:r>
      <w:r w:rsidRPr="00EE7190">
        <w:rPr>
          <w:rFonts w:eastAsiaTheme="minorEastAsia" w:cs="Times New Roman"/>
          <w:noProof/>
          <w:szCs w:val="26"/>
          <w:lang w:val="es-MX"/>
        </w:rPr>
        <w:t xml:space="preserve"> </w:t>
      </w:r>
      <w:r w:rsidR="00554F5F" w:rsidRPr="00EE7190">
        <w:rPr>
          <w:rFonts w:eastAsiaTheme="minorEastAsia" w:cs="Times New Roman"/>
          <w:noProof/>
          <w:szCs w:val="26"/>
          <w:lang w:val="es-MX"/>
        </w:rPr>
        <w:t>el</w:t>
      </w:r>
      <w:r w:rsidRPr="00EE7190">
        <w:rPr>
          <w:rFonts w:eastAsiaTheme="minorEastAsia" w:cs="Times New Roman"/>
          <w:noProof/>
          <w:szCs w:val="26"/>
          <w:lang w:val="es-MX"/>
        </w:rPr>
        <w:t xml:space="preserve"> Abuso Sexual</w:t>
      </w:r>
    </w:p>
    <w:bookmarkEnd w:id="0"/>
    <w:bookmarkEnd w:id="1"/>
    <w:p w:rsidR="00554F5F" w:rsidRPr="00EE7190" w:rsidRDefault="00554F5F" w:rsidP="001C11C0">
      <w:pPr>
        <w:ind w:firstLine="720"/>
        <w:jc w:val="both"/>
        <w:rPr>
          <w:sz w:val="26"/>
          <w:szCs w:val="26"/>
          <w:lang w:val="es-MX"/>
        </w:rPr>
      </w:pPr>
    </w:p>
    <w:p w:rsidR="00554F5F" w:rsidRPr="00EE7190" w:rsidRDefault="00554F5F" w:rsidP="001C11C0">
      <w:pPr>
        <w:ind w:firstLine="720"/>
        <w:jc w:val="both"/>
        <w:rPr>
          <w:sz w:val="26"/>
          <w:szCs w:val="26"/>
          <w:lang w:val="es-MX"/>
        </w:rPr>
      </w:pPr>
      <w:r w:rsidRPr="00EE7190">
        <w:rPr>
          <w:sz w:val="26"/>
          <w:szCs w:val="26"/>
          <w:lang w:val="es-MX"/>
        </w:rPr>
        <w:t xml:space="preserve">Esta sección de ésta carta resume las leyes que (1) prohíben el abuso sexual de personas encarceladas y que requieren que los funcionarios penitenciales protejan a las personas contra abuso sexual, (2) exigir a las prisiones a adoptar y seguir las políticas para prevenir e investigar el abuso sexual, y (3) castigar al personal penitenciario o a las personas encarceladas </w:t>
      </w:r>
      <w:proofErr w:type="spellStart"/>
      <w:r w:rsidRPr="00EE7190">
        <w:rPr>
          <w:sz w:val="26"/>
          <w:szCs w:val="26"/>
          <w:lang w:val="es-MX"/>
        </w:rPr>
        <w:t>sque</w:t>
      </w:r>
      <w:proofErr w:type="spellEnd"/>
      <w:r w:rsidRPr="00EE7190">
        <w:rPr>
          <w:sz w:val="26"/>
          <w:szCs w:val="26"/>
          <w:lang w:val="es-MX"/>
        </w:rPr>
        <w:t xml:space="preserve"> comenten abuso sexual.</w:t>
      </w:r>
    </w:p>
    <w:p w:rsidR="00B553A9" w:rsidRPr="00EE7190" w:rsidRDefault="00B553A9" w:rsidP="001C11C0">
      <w:pPr>
        <w:ind w:firstLine="720"/>
        <w:jc w:val="both"/>
        <w:rPr>
          <w:sz w:val="26"/>
          <w:szCs w:val="26"/>
          <w:lang w:val="es-MX"/>
        </w:rPr>
      </w:pPr>
    </w:p>
    <w:p w:rsidR="00B553A9" w:rsidRPr="00EE7190" w:rsidRDefault="00B553A9" w:rsidP="001C11C0">
      <w:pPr>
        <w:pStyle w:val="BiABC0"/>
        <w:jc w:val="both"/>
        <w:outlineLvl w:val="1"/>
        <w:rPr>
          <w:sz w:val="26"/>
          <w:szCs w:val="26"/>
          <w:lang w:val="es-MX"/>
        </w:rPr>
      </w:pPr>
      <w:bookmarkStart w:id="2" w:name="_Toc11662501"/>
      <w:bookmarkStart w:id="3" w:name="_Toc11662661"/>
      <w:r w:rsidRPr="00EE7190">
        <w:rPr>
          <w:sz w:val="26"/>
          <w:szCs w:val="26"/>
          <w:lang w:val="es-MX"/>
        </w:rPr>
        <w:t xml:space="preserve">A. </w:t>
      </w:r>
      <w:r w:rsidRPr="00EE7190">
        <w:rPr>
          <w:sz w:val="26"/>
          <w:szCs w:val="26"/>
          <w:lang w:val="es-MX"/>
        </w:rPr>
        <w:tab/>
      </w:r>
      <w:r w:rsidR="00554F5F" w:rsidRPr="00EE7190">
        <w:rPr>
          <w:sz w:val="26"/>
          <w:szCs w:val="26"/>
          <w:lang w:val="es-MX"/>
        </w:rPr>
        <w:t>La Constitución de los Estados Unidos.</w:t>
      </w:r>
      <w:bookmarkEnd w:id="2"/>
      <w:bookmarkEnd w:id="3"/>
      <w:r w:rsidRPr="00EE7190">
        <w:rPr>
          <w:sz w:val="26"/>
          <w:szCs w:val="26"/>
          <w:lang w:val="es-MX"/>
        </w:rPr>
        <w:t xml:space="preserve"> </w:t>
      </w:r>
    </w:p>
    <w:p w:rsidR="00B553A9" w:rsidRPr="00EE7190" w:rsidRDefault="00554F5F" w:rsidP="001C11C0">
      <w:pPr>
        <w:ind w:firstLine="720"/>
        <w:jc w:val="both"/>
        <w:rPr>
          <w:sz w:val="26"/>
          <w:szCs w:val="26"/>
          <w:lang w:val="es-MX"/>
        </w:rPr>
      </w:pPr>
      <w:r w:rsidRPr="00EE7190">
        <w:rPr>
          <w:sz w:val="26"/>
          <w:szCs w:val="26"/>
          <w:lang w:val="es-MX"/>
        </w:rPr>
        <w:t>Bajo la Octava Enmienda de la Constitución de los Estados Unidos, las personas encarceladas tienen derecho a estar libres de castigos crueles e inusuales. Esto incluye el derecho</w:t>
      </w:r>
      <w:r w:rsidR="00EE7190">
        <w:rPr>
          <w:sz w:val="26"/>
          <w:szCs w:val="26"/>
          <w:lang w:val="es-MX"/>
        </w:rPr>
        <w:t xml:space="preserve"> </w:t>
      </w:r>
      <w:r w:rsidRPr="00EE7190">
        <w:rPr>
          <w:sz w:val="26"/>
          <w:szCs w:val="26"/>
          <w:lang w:val="es-MX"/>
        </w:rPr>
        <w:t>a no ser abusadas sexualm</w:t>
      </w:r>
      <w:r w:rsidR="00AA6A1D" w:rsidRPr="00EE7190">
        <w:rPr>
          <w:sz w:val="26"/>
          <w:szCs w:val="26"/>
          <w:lang w:val="es-MX"/>
        </w:rPr>
        <w:t>e</w:t>
      </w:r>
      <w:r w:rsidRPr="00EE7190">
        <w:rPr>
          <w:sz w:val="26"/>
          <w:szCs w:val="26"/>
          <w:lang w:val="es-MX"/>
        </w:rPr>
        <w:t>nte por el personal de la prisión: violar, tocamiento sexua</w:t>
      </w:r>
      <w:r w:rsidR="0063668B" w:rsidRPr="00EE7190">
        <w:rPr>
          <w:sz w:val="26"/>
          <w:szCs w:val="26"/>
          <w:lang w:val="es-MX"/>
        </w:rPr>
        <w:t xml:space="preserve">l, o gestos lascivos podrían </w:t>
      </w:r>
      <w:r w:rsidRPr="00EE7190">
        <w:rPr>
          <w:sz w:val="26"/>
          <w:szCs w:val="26"/>
          <w:lang w:val="es-MX"/>
        </w:rPr>
        <w:t>calificar</w:t>
      </w:r>
      <w:r w:rsidR="00EE7190">
        <w:rPr>
          <w:sz w:val="26"/>
          <w:szCs w:val="26"/>
          <w:lang w:val="es-MX"/>
        </w:rPr>
        <w:t xml:space="preserve"> </w:t>
      </w:r>
      <w:r w:rsidR="0063668B" w:rsidRPr="00EE7190">
        <w:rPr>
          <w:sz w:val="26"/>
          <w:szCs w:val="26"/>
          <w:lang w:val="es-MX"/>
        </w:rPr>
        <w:t xml:space="preserve">todos </w:t>
      </w:r>
      <w:r w:rsidRPr="00EE7190">
        <w:rPr>
          <w:sz w:val="26"/>
          <w:szCs w:val="26"/>
          <w:lang w:val="es-MX"/>
        </w:rPr>
        <w:t>como un abuso sexual constitucional</w:t>
      </w:r>
      <w:r w:rsidR="00B553A9" w:rsidRPr="00EE7190">
        <w:rPr>
          <w:sz w:val="26"/>
          <w:szCs w:val="26"/>
          <w:lang w:val="es-MX"/>
        </w:rPr>
        <w:t>.</w:t>
      </w:r>
      <w:r w:rsidR="00B553A9" w:rsidRPr="00EE7190">
        <w:rPr>
          <w:rStyle w:val="FootnoteReference"/>
          <w:sz w:val="26"/>
          <w:szCs w:val="26"/>
          <w:lang w:val="es-MX"/>
        </w:rPr>
        <w:footnoteReference w:id="1"/>
      </w:r>
      <w:r w:rsidR="00EE7190">
        <w:rPr>
          <w:sz w:val="26"/>
          <w:szCs w:val="26"/>
          <w:lang w:val="es-MX"/>
        </w:rPr>
        <w:t xml:space="preserve"> </w:t>
      </w:r>
      <w:r w:rsidR="0063668B" w:rsidRPr="00EE7190">
        <w:rPr>
          <w:sz w:val="26"/>
          <w:szCs w:val="26"/>
          <w:lang w:val="es-MX"/>
        </w:rPr>
        <w:t xml:space="preserve">Un Tribunal presupone que la </w:t>
      </w:r>
      <w:r w:rsidR="009F1594" w:rsidRPr="00EE7190">
        <w:rPr>
          <w:sz w:val="26"/>
          <w:szCs w:val="26"/>
          <w:lang w:val="es-MX"/>
        </w:rPr>
        <w:t>persona encarcelada no consi</w:t>
      </w:r>
      <w:r w:rsidR="0063668B" w:rsidRPr="00EE7190">
        <w:rPr>
          <w:sz w:val="26"/>
          <w:szCs w:val="26"/>
          <w:lang w:val="es-MX"/>
        </w:rPr>
        <w:t>ntió el contacto sexual con la persona miembro del personal de la cá</w:t>
      </w:r>
      <w:r w:rsidR="009F1594" w:rsidRPr="00EE7190">
        <w:rPr>
          <w:sz w:val="26"/>
          <w:szCs w:val="26"/>
          <w:lang w:val="es-MX"/>
        </w:rPr>
        <w:t>rcel a menos que el estado pueda</w:t>
      </w:r>
      <w:r w:rsidR="0063668B" w:rsidRPr="00EE7190">
        <w:rPr>
          <w:sz w:val="26"/>
          <w:szCs w:val="26"/>
          <w:lang w:val="es-MX"/>
        </w:rPr>
        <w:t xml:space="preserve"> demostrar que la conducta no fue coercitiva</w:t>
      </w:r>
      <w:r w:rsidR="00B553A9" w:rsidRPr="00EE7190">
        <w:rPr>
          <w:sz w:val="26"/>
          <w:szCs w:val="26"/>
          <w:lang w:val="es-MX"/>
        </w:rPr>
        <w:t>.</w:t>
      </w:r>
      <w:r w:rsidR="00B553A9" w:rsidRPr="00EE7190">
        <w:rPr>
          <w:rStyle w:val="FootnoteReference"/>
          <w:sz w:val="26"/>
          <w:szCs w:val="26"/>
          <w:lang w:val="es-MX"/>
        </w:rPr>
        <w:footnoteReference w:id="2"/>
      </w:r>
      <w:r w:rsidR="00EE7190">
        <w:rPr>
          <w:sz w:val="26"/>
          <w:szCs w:val="26"/>
          <w:lang w:val="es-MX"/>
        </w:rPr>
        <w:t xml:space="preserve"> </w:t>
      </w:r>
      <w:r w:rsidR="0063668B" w:rsidRPr="00EE7190">
        <w:rPr>
          <w:sz w:val="26"/>
          <w:szCs w:val="26"/>
          <w:lang w:val="es-MX"/>
        </w:rPr>
        <w:t xml:space="preserve">Si no </w:t>
      </w:r>
      <w:r w:rsidR="006D3FE8" w:rsidRPr="00EE7190">
        <w:rPr>
          <w:sz w:val="26"/>
          <w:szCs w:val="26"/>
          <w:lang w:val="es-MX"/>
        </w:rPr>
        <w:t>existe una prop</w:t>
      </w:r>
      <w:r w:rsidR="007265AB" w:rsidRPr="00EE7190">
        <w:rPr>
          <w:sz w:val="26"/>
          <w:szCs w:val="26"/>
          <w:lang w:val="es-MX"/>
        </w:rPr>
        <w:t xml:space="preserve">ósito penológico </w:t>
      </w:r>
      <w:r w:rsidR="006D3FE8" w:rsidRPr="00EE7190">
        <w:rPr>
          <w:sz w:val="26"/>
          <w:szCs w:val="26"/>
          <w:lang w:val="es-MX"/>
        </w:rPr>
        <w:t xml:space="preserve">legítimo para la conducta, un tribunal presupone que el personal penitenciario actuó </w:t>
      </w:r>
      <w:r w:rsidR="007265AB" w:rsidRPr="00EE7190">
        <w:rPr>
          <w:sz w:val="26"/>
          <w:szCs w:val="26"/>
          <w:lang w:val="es-MX"/>
        </w:rPr>
        <w:t xml:space="preserve">con una intención </w:t>
      </w:r>
      <w:proofErr w:type="spellStart"/>
      <w:r w:rsidR="007265AB" w:rsidRPr="00EE7190">
        <w:rPr>
          <w:sz w:val="26"/>
          <w:szCs w:val="26"/>
          <w:lang w:val="es-MX"/>
        </w:rPr>
        <w:t>incostitucional</w:t>
      </w:r>
      <w:proofErr w:type="spellEnd"/>
      <w:r w:rsidR="007265AB" w:rsidRPr="00EE7190">
        <w:rPr>
          <w:sz w:val="26"/>
          <w:szCs w:val="26"/>
          <w:lang w:val="es-MX"/>
        </w:rPr>
        <w:t xml:space="preserve"> maliciosa y sádica; sin embargo, la constitución no es vio</w:t>
      </w:r>
      <w:r w:rsidR="005E5C55" w:rsidRPr="00EE7190">
        <w:rPr>
          <w:sz w:val="26"/>
          <w:szCs w:val="26"/>
          <w:lang w:val="es-MX"/>
        </w:rPr>
        <w:t>l</w:t>
      </w:r>
      <w:r w:rsidR="007265AB" w:rsidRPr="00EE7190">
        <w:rPr>
          <w:sz w:val="26"/>
          <w:szCs w:val="26"/>
          <w:lang w:val="es-MX"/>
        </w:rPr>
        <w:t>ada si el personal estaba llevando a cabo un propósito penológico legítimo com</w:t>
      </w:r>
      <w:r w:rsidR="009F1594" w:rsidRPr="00EE7190">
        <w:rPr>
          <w:sz w:val="26"/>
          <w:szCs w:val="26"/>
          <w:lang w:val="es-MX"/>
        </w:rPr>
        <w:t>o una revisión</w:t>
      </w:r>
      <w:r w:rsidR="005E5C55" w:rsidRPr="00EE7190">
        <w:rPr>
          <w:sz w:val="26"/>
          <w:szCs w:val="26"/>
          <w:lang w:val="es-MX"/>
        </w:rPr>
        <w:t xml:space="preserve"> justificable o una revisión sin ropa</w:t>
      </w:r>
      <w:r w:rsidR="00B553A9" w:rsidRPr="00EE7190">
        <w:rPr>
          <w:sz w:val="26"/>
          <w:szCs w:val="26"/>
          <w:lang w:val="es-MX"/>
        </w:rPr>
        <w:t>.</w:t>
      </w:r>
      <w:r w:rsidR="00B553A9" w:rsidRPr="00EE7190">
        <w:rPr>
          <w:rStyle w:val="FootnoteReference"/>
          <w:sz w:val="26"/>
          <w:szCs w:val="26"/>
          <w:lang w:val="es-MX"/>
        </w:rPr>
        <w:footnoteReference w:id="3"/>
      </w:r>
      <w:r w:rsidR="00EE7190">
        <w:rPr>
          <w:sz w:val="26"/>
          <w:szCs w:val="26"/>
          <w:lang w:val="es-MX"/>
        </w:rPr>
        <w:t xml:space="preserve"> </w:t>
      </w:r>
      <w:r w:rsidR="005E5C55" w:rsidRPr="00EE7190">
        <w:rPr>
          <w:sz w:val="26"/>
          <w:szCs w:val="26"/>
          <w:lang w:val="es-MX"/>
        </w:rPr>
        <w:t>Para violar la Constituci</w:t>
      </w:r>
      <w:r w:rsidR="00600AB5" w:rsidRPr="00EE7190">
        <w:rPr>
          <w:sz w:val="26"/>
          <w:szCs w:val="26"/>
          <w:lang w:val="es-MX"/>
        </w:rPr>
        <w:t>ón</w:t>
      </w:r>
      <w:r w:rsidR="00EE7190">
        <w:rPr>
          <w:sz w:val="26"/>
          <w:szCs w:val="26"/>
          <w:lang w:val="es-MX"/>
        </w:rPr>
        <w:t xml:space="preserve"> </w:t>
      </w:r>
      <w:r w:rsidR="00600AB5" w:rsidRPr="00EE7190">
        <w:rPr>
          <w:sz w:val="26"/>
          <w:szCs w:val="26"/>
          <w:lang w:val="es-MX"/>
        </w:rPr>
        <w:t>las acciones de los</w:t>
      </w:r>
      <w:r w:rsidR="00EE7190">
        <w:rPr>
          <w:sz w:val="26"/>
          <w:szCs w:val="26"/>
          <w:lang w:val="es-MX"/>
        </w:rPr>
        <w:t xml:space="preserve"> </w:t>
      </w:r>
      <w:r w:rsidR="00600AB5" w:rsidRPr="00EE7190">
        <w:rPr>
          <w:sz w:val="26"/>
          <w:szCs w:val="26"/>
          <w:lang w:val="es-MX"/>
        </w:rPr>
        <w:lastRenderedPageBreak/>
        <w:t>oficiales deben ser “ofensivas</w:t>
      </w:r>
      <w:r w:rsidR="00EE7190">
        <w:rPr>
          <w:sz w:val="26"/>
          <w:szCs w:val="26"/>
          <w:lang w:val="es-MX"/>
        </w:rPr>
        <w:t xml:space="preserve"> </w:t>
      </w:r>
      <w:r w:rsidR="00600AB5" w:rsidRPr="00EE7190">
        <w:rPr>
          <w:sz w:val="26"/>
          <w:szCs w:val="26"/>
          <w:lang w:val="es-MX"/>
        </w:rPr>
        <w:t>para la dignidad humana”</w:t>
      </w:r>
      <w:r w:rsidR="0044259C" w:rsidRPr="00EE7190">
        <w:rPr>
          <w:sz w:val="26"/>
          <w:szCs w:val="26"/>
          <w:lang w:val="es-MX"/>
        </w:rPr>
        <w:t xml:space="preserve"> y no es necesario</w:t>
      </w:r>
      <w:r w:rsidR="00EE7190">
        <w:rPr>
          <w:sz w:val="26"/>
          <w:szCs w:val="26"/>
          <w:lang w:val="es-MX"/>
        </w:rPr>
        <w:t xml:space="preserve"> </w:t>
      </w:r>
      <w:r w:rsidR="00600AB5" w:rsidRPr="00EE7190">
        <w:rPr>
          <w:sz w:val="26"/>
          <w:szCs w:val="26"/>
          <w:lang w:val="es-MX"/>
        </w:rPr>
        <w:t>que haya</w:t>
      </w:r>
      <w:r w:rsidR="00EE7190">
        <w:rPr>
          <w:sz w:val="26"/>
          <w:szCs w:val="26"/>
          <w:lang w:val="es-MX"/>
        </w:rPr>
        <w:t xml:space="preserve"> </w:t>
      </w:r>
      <w:r w:rsidR="00600AB5" w:rsidRPr="00EE7190">
        <w:rPr>
          <w:sz w:val="26"/>
          <w:szCs w:val="26"/>
          <w:lang w:val="es-MX"/>
        </w:rPr>
        <w:t>evidencia de daño físico</w:t>
      </w:r>
      <w:r w:rsidR="00B553A9" w:rsidRPr="00EE7190">
        <w:rPr>
          <w:sz w:val="26"/>
          <w:szCs w:val="26"/>
          <w:lang w:val="es-MX"/>
        </w:rPr>
        <w:t>.</w:t>
      </w:r>
      <w:r w:rsidR="00B553A9" w:rsidRPr="00EE7190">
        <w:rPr>
          <w:rStyle w:val="FootnoteReference"/>
          <w:sz w:val="26"/>
          <w:szCs w:val="26"/>
          <w:lang w:val="es-MX"/>
        </w:rPr>
        <w:footnoteReference w:id="4"/>
      </w:r>
      <w:r w:rsidR="00EE7190">
        <w:rPr>
          <w:sz w:val="26"/>
          <w:szCs w:val="26"/>
          <w:lang w:val="es-MX"/>
        </w:rPr>
        <w:t xml:space="preserve"> </w:t>
      </w:r>
    </w:p>
    <w:p w:rsidR="006B4D47" w:rsidRPr="00EE7190" w:rsidRDefault="006B4D47" w:rsidP="001C11C0">
      <w:pPr>
        <w:jc w:val="both"/>
        <w:rPr>
          <w:sz w:val="26"/>
          <w:szCs w:val="26"/>
          <w:lang w:val="es-MX"/>
        </w:rPr>
      </w:pPr>
    </w:p>
    <w:p w:rsidR="00B553A9" w:rsidRPr="00EE7190" w:rsidRDefault="000F5830" w:rsidP="001C11C0">
      <w:pPr>
        <w:ind w:firstLine="720"/>
        <w:jc w:val="both"/>
        <w:rPr>
          <w:sz w:val="26"/>
          <w:szCs w:val="26"/>
          <w:lang w:val="es-MX"/>
        </w:rPr>
      </w:pPr>
      <w:r w:rsidRPr="00EE7190">
        <w:rPr>
          <w:sz w:val="26"/>
          <w:szCs w:val="26"/>
          <w:lang w:val="es-MX"/>
        </w:rPr>
        <w:t xml:space="preserve">La Octava Enmienda también impone los deberes al personal penitenciario para </w:t>
      </w:r>
      <w:proofErr w:type="spellStart"/>
      <w:r w:rsidRPr="00EE7190">
        <w:rPr>
          <w:sz w:val="26"/>
          <w:szCs w:val="26"/>
          <w:lang w:val="es-MX"/>
        </w:rPr>
        <w:t>protejer</w:t>
      </w:r>
      <w:proofErr w:type="spellEnd"/>
      <w:r w:rsidRPr="00EE7190">
        <w:rPr>
          <w:sz w:val="26"/>
          <w:szCs w:val="26"/>
          <w:lang w:val="es-MX"/>
        </w:rPr>
        <w:t xml:space="preserve"> a las personas encarceladas de abuso sexual por otras personas encarceladas. </w:t>
      </w:r>
      <w:r w:rsidR="009F1594" w:rsidRPr="00EE7190">
        <w:rPr>
          <w:sz w:val="26"/>
          <w:szCs w:val="26"/>
          <w:lang w:val="es-MX"/>
        </w:rPr>
        <w:t>Se considera que se viola l</w:t>
      </w:r>
      <w:r w:rsidRPr="00EE7190">
        <w:rPr>
          <w:sz w:val="26"/>
          <w:szCs w:val="26"/>
          <w:lang w:val="es-MX"/>
        </w:rPr>
        <w:t>a constitución,</w:t>
      </w:r>
      <w:r w:rsidR="00EE7190">
        <w:rPr>
          <w:sz w:val="26"/>
          <w:szCs w:val="26"/>
          <w:lang w:val="es-MX"/>
        </w:rPr>
        <w:t xml:space="preserve"> </w:t>
      </w:r>
      <w:r w:rsidR="009F1594" w:rsidRPr="00EE7190">
        <w:rPr>
          <w:sz w:val="26"/>
          <w:szCs w:val="26"/>
          <w:lang w:val="es-MX"/>
        </w:rPr>
        <w:t xml:space="preserve">cuando </w:t>
      </w:r>
      <w:r w:rsidRPr="00EE7190">
        <w:rPr>
          <w:sz w:val="26"/>
          <w:szCs w:val="26"/>
          <w:lang w:val="es-MX"/>
        </w:rPr>
        <w:t>el personal penitenciario</w:t>
      </w:r>
      <w:r w:rsidR="009F1594" w:rsidRPr="00EE7190">
        <w:rPr>
          <w:sz w:val="26"/>
          <w:szCs w:val="26"/>
          <w:lang w:val="es-MX"/>
        </w:rPr>
        <w:t xml:space="preserve"> falla</w:t>
      </w:r>
      <w:r w:rsidRPr="00EE7190">
        <w:rPr>
          <w:sz w:val="26"/>
          <w:szCs w:val="26"/>
          <w:lang w:val="es-MX"/>
        </w:rPr>
        <w:t xml:space="preserve"> en la protección de un prisionero</w:t>
      </w:r>
      <w:r w:rsidR="00EE7190">
        <w:rPr>
          <w:sz w:val="26"/>
          <w:szCs w:val="26"/>
          <w:lang w:val="es-MX"/>
        </w:rPr>
        <w:t xml:space="preserve"> </w:t>
      </w:r>
      <w:r w:rsidRPr="00EE7190">
        <w:rPr>
          <w:sz w:val="26"/>
          <w:szCs w:val="26"/>
          <w:lang w:val="es-MX"/>
        </w:rPr>
        <w:t>de</w:t>
      </w:r>
      <w:r w:rsidR="0044259C" w:rsidRPr="00EE7190">
        <w:rPr>
          <w:sz w:val="26"/>
          <w:szCs w:val="26"/>
          <w:lang w:val="es-MX"/>
        </w:rPr>
        <w:t xml:space="preserve"> un</w:t>
      </w:r>
      <w:r w:rsidR="00EE7190">
        <w:rPr>
          <w:sz w:val="26"/>
          <w:szCs w:val="26"/>
          <w:lang w:val="es-MX"/>
        </w:rPr>
        <w:t xml:space="preserve"> </w:t>
      </w:r>
      <w:r w:rsidRPr="00EE7190">
        <w:rPr>
          <w:sz w:val="26"/>
          <w:szCs w:val="26"/>
          <w:lang w:val="es-MX"/>
        </w:rPr>
        <w:t>abuso sexual</w:t>
      </w:r>
      <w:r w:rsidR="00EE7190">
        <w:rPr>
          <w:sz w:val="26"/>
          <w:szCs w:val="26"/>
          <w:lang w:val="es-MX"/>
        </w:rPr>
        <w:t xml:space="preserve"> </w:t>
      </w:r>
      <w:r w:rsidR="00352FAE" w:rsidRPr="00EE7190">
        <w:rPr>
          <w:sz w:val="26"/>
          <w:szCs w:val="26"/>
          <w:lang w:val="es-MX"/>
        </w:rPr>
        <w:t xml:space="preserve">y </w:t>
      </w:r>
      <w:r w:rsidRPr="00EE7190">
        <w:rPr>
          <w:sz w:val="26"/>
          <w:szCs w:val="26"/>
          <w:lang w:val="es-MX"/>
        </w:rPr>
        <w:t xml:space="preserve">debe contar como </w:t>
      </w:r>
      <w:r w:rsidR="009F1594" w:rsidRPr="00EE7190">
        <w:rPr>
          <w:sz w:val="26"/>
          <w:szCs w:val="26"/>
          <w:lang w:val="es-MX"/>
        </w:rPr>
        <w:t>“indiferencia deliberada”, como</w:t>
      </w:r>
      <w:r w:rsidR="0044259C" w:rsidRPr="00EE7190">
        <w:rPr>
          <w:sz w:val="26"/>
          <w:szCs w:val="26"/>
          <w:lang w:val="es-MX"/>
        </w:rPr>
        <w:t xml:space="preserve"> un riesgo sustancial de daño</w:t>
      </w:r>
      <w:r w:rsidR="00EE7190">
        <w:rPr>
          <w:sz w:val="26"/>
          <w:szCs w:val="26"/>
          <w:lang w:val="es-MX"/>
        </w:rPr>
        <w:t xml:space="preserve"> </w:t>
      </w:r>
      <w:r w:rsidR="0044259C" w:rsidRPr="00EE7190">
        <w:rPr>
          <w:sz w:val="26"/>
          <w:szCs w:val="26"/>
          <w:lang w:val="es-MX"/>
        </w:rPr>
        <w:t>a la salud y seguridad de</w:t>
      </w:r>
      <w:r w:rsidR="00EE7190">
        <w:rPr>
          <w:sz w:val="26"/>
          <w:szCs w:val="26"/>
          <w:lang w:val="es-MX"/>
        </w:rPr>
        <w:t xml:space="preserve"> </w:t>
      </w:r>
      <w:r w:rsidR="0044259C" w:rsidRPr="00EE7190">
        <w:rPr>
          <w:sz w:val="26"/>
          <w:szCs w:val="26"/>
          <w:lang w:val="es-MX"/>
        </w:rPr>
        <w:t>una persona encarcelada</w:t>
      </w:r>
      <w:r w:rsidR="00B553A9" w:rsidRPr="00EE7190">
        <w:rPr>
          <w:sz w:val="26"/>
          <w:szCs w:val="26"/>
          <w:lang w:val="es-MX"/>
        </w:rPr>
        <w:t>.</w:t>
      </w:r>
      <w:r w:rsidR="00B553A9" w:rsidRPr="00EE7190">
        <w:rPr>
          <w:rStyle w:val="FootnoteReference"/>
          <w:sz w:val="26"/>
          <w:szCs w:val="26"/>
          <w:lang w:val="es-MX"/>
        </w:rPr>
        <w:footnoteReference w:id="5"/>
      </w:r>
      <w:r w:rsidR="00EE7190">
        <w:rPr>
          <w:sz w:val="26"/>
          <w:szCs w:val="26"/>
          <w:lang w:val="es-MX"/>
        </w:rPr>
        <w:t xml:space="preserve"> </w:t>
      </w:r>
      <w:r w:rsidR="0044259C" w:rsidRPr="00EE7190">
        <w:rPr>
          <w:sz w:val="26"/>
          <w:szCs w:val="26"/>
          <w:lang w:val="es-MX"/>
        </w:rPr>
        <w:t>No se requiere que la persona encarcelada haya sido ya perjudicada, mientras</w:t>
      </w:r>
      <w:r w:rsidR="00EE7190">
        <w:rPr>
          <w:sz w:val="26"/>
          <w:szCs w:val="26"/>
          <w:lang w:val="es-MX"/>
        </w:rPr>
        <w:t xml:space="preserve"> </w:t>
      </w:r>
      <w:r w:rsidR="0044259C" w:rsidRPr="00EE7190">
        <w:rPr>
          <w:sz w:val="26"/>
          <w:szCs w:val="26"/>
          <w:lang w:val="es-MX"/>
        </w:rPr>
        <w:t>exista un irrazonable riesgo de daño grave en el futuro</w:t>
      </w:r>
      <w:r w:rsidR="00B553A9" w:rsidRPr="00EE7190">
        <w:rPr>
          <w:sz w:val="26"/>
          <w:szCs w:val="26"/>
          <w:lang w:val="es-MX"/>
        </w:rPr>
        <w:t>.</w:t>
      </w:r>
      <w:r w:rsidR="00B553A9" w:rsidRPr="00EE7190">
        <w:rPr>
          <w:rStyle w:val="FootnoteReference"/>
          <w:sz w:val="26"/>
          <w:szCs w:val="26"/>
          <w:lang w:val="es-MX"/>
        </w:rPr>
        <w:footnoteReference w:id="6"/>
      </w:r>
      <w:r w:rsidR="00B553A9" w:rsidRPr="00EE7190">
        <w:rPr>
          <w:sz w:val="26"/>
          <w:szCs w:val="26"/>
          <w:lang w:val="es-MX"/>
        </w:rPr>
        <w:t xml:space="preserve"> </w:t>
      </w:r>
    </w:p>
    <w:p w:rsidR="000B50F0" w:rsidRPr="00EE7190" w:rsidRDefault="000B50F0" w:rsidP="001C11C0">
      <w:pPr>
        <w:ind w:firstLine="720"/>
        <w:jc w:val="both"/>
        <w:rPr>
          <w:sz w:val="26"/>
          <w:szCs w:val="26"/>
          <w:lang w:val="es-MX"/>
        </w:rPr>
      </w:pPr>
    </w:p>
    <w:p w:rsidR="00B553A9" w:rsidRPr="00EE7190" w:rsidRDefault="00352FAE" w:rsidP="001C11C0">
      <w:pPr>
        <w:ind w:firstLine="720"/>
        <w:jc w:val="both"/>
        <w:rPr>
          <w:sz w:val="26"/>
          <w:szCs w:val="26"/>
          <w:lang w:val="es-MX"/>
        </w:rPr>
      </w:pPr>
      <w:r w:rsidRPr="00EE7190">
        <w:rPr>
          <w:sz w:val="26"/>
          <w:szCs w:val="26"/>
          <w:lang w:val="es-MX"/>
        </w:rPr>
        <w:t>Las políticas de monitoreo e investigación que no están justificadas por las necesidades legítimas de la prisión pueden ser sexualmente abusivas en violación</w:t>
      </w:r>
      <w:r w:rsidR="00EE7190">
        <w:rPr>
          <w:sz w:val="26"/>
          <w:szCs w:val="26"/>
          <w:lang w:val="es-MX"/>
        </w:rPr>
        <w:t xml:space="preserve"> </w:t>
      </w:r>
      <w:r w:rsidRPr="00EE7190">
        <w:rPr>
          <w:sz w:val="26"/>
          <w:szCs w:val="26"/>
          <w:lang w:val="es-MX"/>
        </w:rPr>
        <w:t>al derecho a la privacidad</w:t>
      </w:r>
      <w:r w:rsidR="00EE7190">
        <w:rPr>
          <w:sz w:val="26"/>
          <w:szCs w:val="26"/>
          <w:lang w:val="es-MX"/>
        </w:rPr>
        <w:t xml:space="preserve"> </w:t>
      </w:r>
      <w:r w:rsidRPr="00EE7190">
        <w:rPr>
          <w:sz w:val="26"/>
          <w:szCs w:val="26"/>
          <w:lang w:val="es-MX"/>
        </w:rPr>
        <w:t xml:space="preserve">de la Cuarta Enmienda de la Constitución de los E. U. A. y/o el derecho a estar libre de castigos crueles e inusuales de la Octava Enmienda. </w:t>
      </w:r>
      <w:r w:rsidR="00896A9D" w:rsidRPr="00EE7190">
        <w:rPr>
          <w:sz w:val="26"/>
          <w:szCs w:val="26"/>
          <w:lang w:val="es-MX"/>
        </w:rPr>
        <w:t>Por ejemplo, se encontró como una política cruel e inusual de castigo aquella que exigía a los guardias varones el conducir aleatoriamente registros</w:t>
      </w:r>
      <w:r w:rsidR="00EE7190">
        <w:rPr>
          <w:sz w:val="26"/>
          <w:szCs w:val="26"/>
          <w:lang w:val="es-MX"/>
        </w:rPr>
        <w:t xml:space="preserve"> </w:t>
      </w:r>
      <w:r w:rsidR="00896A9D" w:rsidRPr="00EE7190">
        <w:rPr>
          <w:sz w:val="26"/>
          <w:szCs w:val="26"/>
          <w:lang w:val="es-MX"/>
        </w:rPr>
        <w:t>de emergencia en las ropas</w:t>
      </w:r>
      <w:r w:rsidR="00AA6A1D" w:rsidRPr="00EE7190">
        <w:rPr>
          <w:sz w:val="26"/>
          <w:szCs w:val="26"/>
          <w:lang w:val="es-MX"/>
        </w:rPr>
        <w:t xml:space="preserve"> de los pre</w:t>
      </w:r>
      <w:r w:rsidR="009F1594" w:rsidRPr="00EE7190">
        <w:rPr>
          <w:sz w:val="26"/>
          <w:szCs w:val="26"/>
          <w:lang w:val="es-MX"/>
        </w:rPr>
        <w:t xml:space="preserve">sos que incluyeron </w:t>
      </w:r>
      <w:proofErr w:type="spellStart"/>
      <w:r w:rsidR="009F1594" w:rsidRPr="00EE7190">
        <w:rPr>
          <w:sz w:val="26"/>
          <w:szCs w:val="26"/>
          <w:lang w:val="es-MX"/>
        </w:rPr>
        <w:t>sobamientos</w:t>
      </w:r>
      <w:proofErr w:type="spellEnd"/>
      <w:r w:rsidR="009F1594" w:rsidRPr="00EE7190">
        <w:rPr>
          <w:sz w:val="26"/>
          <w:szCs w:val="26"/>
          <w:lang w:val="es-MX"/>
        </w:rPr>
        <w:t>,</w:t>
      </w:r>
      <w:r w:rsidR="00EE7190">
        <w:rPr>
          <w:sz w:val="26"/>
          <w:szCs w:val="26"/>
          <w:lang w:val="es-MX"/>
        </w:rPr>
        <w:t xml:space="preserve"> </w:t>
      </w:r>
      <w:r w:rsidR="00AA6A1D" w:rsidRPr="00EE7190">
        <w:rPr>
          <w:sz w:val="26"/>
          <w:szCs w:val="26"/>
          <w:lang w:val="es-MX"/>
        </w:rPr>
        <w:t>roce de genitales</w:t>
      </w:r>
      <w:r w:rsidR="009F1594" w:rsidRPr="00EE7190">
        <w:rPr>
          <w:sz w:val="26"/>
          <w:szCs w:val="26"/>
          <w:lang w:val="es-MX"/>
        </w:rPr>
        <w:t xml:space="preserve"> en los varones</w:t>
      </w:r>
      <w:r w:rsidR="00AA6A1D" w:rsidRPr="00EE7190">
        <w:rPr>
          <w:sz w:val="26"/>
          <w:szCs w:val="26"/>
          <w:lang w:val="es-MX"/>
        </w:rPr>
        <w:t xml:space="preserve"> y senos de las prisioneras</w:t>
      </w:r>
      <w:r w:rsidR="00B553A9" w:rsidRPr="00EE7190">
        <w:rPr>
          <w:sz w:val="26"/>
          <w:szCs w:val="26"/>
          <w:lang w:val="es-MX"/>
        </w:rPr>
        <w:t>.</w:t>
      </w:r>
      <w:r w:rsidR="00B553A9" w:rsidRPr="00EE7190">
        <w:rPr>
          <w:rStyle w:val="FootnoteReference"/>
          <w:sz w:val="26"/>
          <w:szCs w:val="26"/>
          <w:lang w:val="es-MX"/>
        </w:rPr>
        <w:footnoteReference w:id="7"/>
      </w:r>
      <w:r w:rsidR="00EE7190">
        <w:rPr>
          <w:sz w:val="26"/>
          <w:szCs w:val="26"/>
          <w:vertAlign w:val="superscript"/>
          <w:lang w:val="es-MX"/>
        </w:rPr>
        <w:t xml:space="preserve"> </w:t>
      </w:r>
      <w:r w:rsidR="00AA6A1D" w:rsidRPr="00EE7190">
        <w:rPr>
          <w:sz w:val="26"/>
          <w:szCs w:val="26"/>
          <w:lang w:val="es-MX"/>
        </w:rPr>
        <w:t xml:space="preserve">Sin embargo, las revisiones de rutina </w:t>
      </w:r>
      <w:r w:rsidR="00524E44" w:rsidRPr="00EE7190">
        <w:rPr>
          <w:sz w:val="26"/>
          <w:szCs w:val="26"/>
          <w:lang w:val="es-MX"/>
        </w:rPr>
        <w:t>y la observación poco frecuente de presos desnudos llevada a cabo por guardias del sexo opuesto,</w:t>
      </w:r>
      <w:r w:rsidR="00EE7190">
        <w:rPr>
          <w:sz w:val="26"/>
          <w:szCs w:val="26"/>
          <w:lang w:val="es-MX"/>
        </w:rPr>
        <w:t xml:space="preserve"> </w:t>
      </w:r>
      <w:r w:rsidR="00524E44" w:rsidRPr="00EE7190">
        <w:rPr>
          <w:sz w:val="26"/>
          <w:szCs w:val="26"/>
          <w:lang w:val="es-MX"/>
        </w:rPr>
        <w:t>no violan las derechos de privacidad</w:t>
      </w:r>
      <w:r w:rsidR="00B553A9" w:rsidRPr="00EE7190">
        <w:rPr>
          <w:sz w:val="26"/>
          <w:szCs w:val="26"/>
          <w:lang w:val="es-MX"/>
        </w:rPr>
        <w:t>.</w:t>
      </w:r>
      <w:r w:rsidR="00B553A9" w:rsidRPr="00EE7190">
        <w:rPr>
          <w:rStyle w:val="FootnoteReference"/>
          <w:sz w:val="26"/>
          <w:szCs w:val="26"/>
          <w:lang w:val="es-MX"/>
        </w:rPr>
        <w:footnoteReference w:id="8"/>
      </w:r>
    </w:p>
    <w:p w:rsidR="00B553A9" w:rsidRPr="00EE7190" w:rsidRDefault="00B553A9" w:rsidP="001C11C0">
      <w:pPr>
        <w:pStyle w:val="BIABC"/>
        <w:outlineLvl w:val="1"/>
        <w:rPr>
          <w:rFonts w:cs="Times New Roman"/>
          <w:sz w:val="26"/>
          <w:szCs w:val="26"/>
          <w:lang w:val="es-MX"/>
        </w:rPr>
      </w:pPr>
      <w:bookmarkStart w:id="4" w:name="_Toc11662502"/>
      <w:bookmarkStart w:id="5" w:name="_Toc11662662"/>
      <w:r w:rsidRPr="00EE7190">
        <w:rPr>
          <w:rFonts w:cs="Times New Roman"/>
          <w:sz w:val="26"/>
          <w:szCs w:val="26"/>
          <w:lang w:val="es-MX"/>
        </w:rPr>
        <w:t xml:space="preserve">B. </w:t>
      </w:r>
      <w:r w:rsidRPr="00EE7190">
        <w:rPr>
          <w:rFonts w:cs="Times New Roman"/>
          <w:sz w:val="26"/>
          <w:szCs w:val="26"/>
          <w:lang w:val="es-MX"/>
        </w:rPr>
        <w:tab/>
      </w:r>
      <w:r w:rsidR="00524E44" w:rsidRPr="00EE7190">
        <w:rPr>
          <w:rFonts w:eastAsiaTheme="minorEastAsia" w:cs="Times New Roman"/>
          <w:bCs w:val="0"/>
          <w:sz w:val="26"/>
          <w:szCs w:val="26"/>
          <w:lang w:val="es-MX"/>
        </w:rPr>
        <w:t>Ley de Eliminación de Violaciones Penitenciarias (PREA), Orden 125 del Departamento de Correcciones de Arizona y Reglamentos</w:t>
      </w:r>
      <w:r w:rsidR="00EE7190">
        <w:rPr>
          <w:rFonts w:eastAsiaTheme="minorEastAsia" w:cs="Times New Roman"/>
          <w:bCs w:val="0"/>
          <w:sz w:val="26"/>
          <w:szCs w:val="26"/>
          <w:lang w:val="es-MX"/>
        </w:rPr>
        <w:t xml:space="preserve"> </w:t>
      </w:r>
      <w:r w:rsidR="00524E44" w:rsidRPr="00EE7190">
        <w:rPr>
          <w:rFonts w:eastAsiaTheme="minorEastAsia" w:cs="Times New Roman"/>
          <w:bCs w:val="0"/>
          <w:sz w:val="26"/>
          <w:szCs w:val="26"/>
          <w:lang w:val="es-MX"/>
        </w:rPr>
        <w:t xml:space="preserve">Disciplinarios </w:t>
      </w:r>
      <w:bookmarkEnd w:id="4"/>
      <w:bookmarkEnd w:id="5"/>
    </w:p>
    <w:p w:rsidR="00524E44" w:rsidRPr="00EE7190" w:rsidRDefault="00524E44" w:rsidP="001C11C0">
      <w:pPr>
        <w:ind w:firstLine="720"/>
        <w:jc w:val="both"/>
        <w:rPr>
          <w:sz w:val="26"/>
          <w:szCs w:val="26"/>
          <w:lang w:val="es-MX"/>
        </w:rPr>
      </w:pPr>
      <w:r w:rsidRPr="00EE7190">
        <w:rPr>
          <w:sz w:val="26"/>
          <w:szCs w:val="26"/>
          <w:lang w:val="es-MX"/>
        </w:rPr>
        <w:lastRenderedPageBreak/>
        <w:t>Existen leyes federales</w:t>
      </w:r>
      <w:r w:rsidR="00EE7190">
        <w:rPr>
          <w:sz w:val="26"/>
          <w:szCs w:val="26"/>
          <w:lang w:val="es-MX"/>
        </w:rPr>
        <w:t xml:space="preserve"> </w:t>
      </w:r>
      <w:r w:rsidRPr="00EE7190">
        <w:rPr>
          <w:sz w:val="26"/>
          <w:szCs w:val="26"/>
          <w:lang w:val="es-MX"/>
        </w:rPr>
        <w:t xml:space="preserve">y políticas </w:t>
      </w:r>
      <w:proofErr w:type="spellStart"/>
      <w:r w:rsidRPr="00EE7190">
        <w:rPr>
          <w:sz w:val="26"/>
          <w:szCs w:val="26"/>
          <w:lang w:val="es-MX"/>
        </w:rPr>
        <w:t>estalates</w:t>
      </w:r>
      <w:proofErr w:type="spellEnd"/>
      <w:r w:rsidRPr="00EE7190">
        <w:rPr>
          <w:sz w:val="26"/>
          <w:szCs w:val="26"/>
          <w:lang w:val="es-MX"/>
        </w:rPr>
        <w:t xml:space="preserve"> para proteger a personas encarceladas del abuso sexual y para ayuda</w:t>
      </w:r>
      <w:r w:rsidR="002651E2" w:rsidRPr="00EE7190">
        <w:rPr>
          <w:sz w:val="26"/>
          <w:szCs w:val="26"/>
          <w:lang w:val="es-MX"/>
        </w:rPr>
        <w:t>r a la gente encarcelada que ha</w:t>
      </w:r>
      <w:r w:rsidRPr="00EE7190">
        <w:rPr>
          <w:sz w:val="26"/>
          <w:szCs w:val="26"/>
          <w:lang w:val="es-MX"/>
        </w:rPr>
        <w:t xml:space="preserve"> sido víctima de abuso sexual.</w:t>
      </w:r>
    </w:p>
    <w:p w:rsidR="000B50F0" w:rsidRPr="00EE7190" w:rsidRDefault="000B50F0" w:rsidP="001C11C0">
      <w:pPr>
        <w:jc w:val="both"/>
        <w:rPr>
          <w:sz w:val="26"/>
          <w:szCs w:val="26"/>
          <w:lang w:val="es-MX"/>
        </w:rPr>
      </w:pPr>
    </w:p>
    <w:p w:rsidR="00B553A9" w:rsidRPr="00EE7190" w:rsidRDefault="002651E2" w:rsidP="001C11C0">
      <w:pPr>
        <w:ind w:firstLine="720"/>
        <w:jc w:val="both"/>
        <w:rPr>
          <w:sz w:val="26"/>
          <w:szCs w:val="26"/>
          <w:lang w:val="es-MX"/>
        </w:rPr>
      </w:pPr>
      <w:r w:rsidRPr="00EE7190">
        <w:rPr>
          <w:sz w:val="26"/>
          <w:szCs w:val="26"/>
          <w:lang w:val="es-MX"/>
        </w:rPr>
        <w:t>La Ley de Eliminación de Violaciones Penitenciarias (</w:t>
      </w:r>
      <w:r w:rsidR="008D7655" w:rsidRPr="00EE7190">
        <w:rPr>
          <w:sz w:val="26"/>
          <w:szCs w:val="26"/>
          <w:lang w:val="es-MX"/>
        </w:rPr>
        <w:t>PREA</w:t>
      </w:r>
      <w:r w:rsidRPr="00EE7190">
        <w:rPr>
          <w:sz w:val="26"/>
          <w:szCs w:val="26"/>
          <w:lang w:val="es-MX"/>
        </w:rPr>
        <w:t xml:space="preserve"> por sus siglas en inglés) del 2003 requirió que el Departamento de Justicia</w:t>
      </w:r>
      <w:r w:rsidR="00EE7190">
        <w:rPr>
          <w:sz w:val="26"/>
          <w:szCs w:val="26"/>
          <w:lang w:val="es-MX"/>
        </w:rPr>
        <w:t xml:space="preserve"> </w:t>
      </w:r>
      <w:r w:rsidRPr="00EE7190">
        <w:rPr>
          <w:sz w:val="26"/>
          <w:szCs w:val="26"/>
          <w:lang w:val="es-MX"/>
        </w:rPr>
        <w:t>expidiera regulaciones nacionales para eliminar el abuso sexual en los centros de detención federal</w:t>
      </w:r>
      <w:r w:rsidR="00BD1402" w:rsidRPr="00EE7190">
        <w:rPr>
          <w:sz w:val="26"/>
          <w:szCs w:val="26"/>
          <w:lang w:val="es-MX"/>
        </w:rPr>
        <w:t>es</w:t>
      </w:r>
      <w:r w:rsidRPr="00EE7190">
        <w:rPr>
          <w:sz w:val="26"/>
          <w:szCs w:val="26"/>
          <w:lang w:val="es-MX"/>
        </w:rPr>
        <w:t>, estatal</w:t>
      </w:r>
      <w:r w:rsidR="00BD1402" w:rsidRPr="00EE7190">
        <w:rPr>
          <w:sz w:val="26"/>
          <w:szCs w:val="26"/>
          <w:lang w:val="es-MX"/>
        </w:rPr>
        <w:t>es</w:t>
      </w:r>
      <w:r w:rsidRPr="00EE7190">
        <w:rPr>
          <w:sz w:val="26"/>
          <w:szCs w:val="26"/>
          <w:lang w:val="es-MX"/>
        </w:rPr>
        <w:t xml:space="preserve"> y locales.</w:t>
      </w:r>
      <w:r w:rsidR="00B553A9" w:rsidRPr="00EE7190">
        <w:rPr>
          <w:sz w:val="26"/>
          <w:szCs w:val="26"/>
          <w:lang w:val="es-MX"/>
        </w:rPr>
        <w:t>.</w:t>
      </w:r>
      <w:r w:rsidR="00E14525" w:rsidRPr="00EE7190">
        <w:rPr>
          <w:rStyle w:val="FootnoteReference"/>
          <w:sz w:val="26"/>
          <w:szCs w:val="26"/>
          <w:lang w:val="es-MX"/>
        </w:rPr>
        <w:footnoteReference w:id="9"/>
      </w:r>
      <w:r w:rsidR="00EE7190">
        <w:rPr>
          <w:sz w:val="26"/>
          <w:szCs w:val="26"/>
          <w:lang w:val="es-MX"/>
        </w:rPr>
        <w:t xml:space="preserve"> </w:t>
      </w:r>
      <w:r w:rsidR="00BD1402" w:rsidRPr="00EE7190">
        <w:rPr>
          <w:sz w:val="26"/>
          <w:szCs w:val="26"/>
          <w:lang w:val="es-MX"/>
        </w:rPr>
        <w:t xml:space="preserve">Las regulaciones del </w:t>
      </w:r>
      <w:r w:rsidR="000B50F0" w:rsidRPr="00EE7190">
        <w:rPr>
          <w:sz w:val="26"/>
          <w:szCs w:val="26"/>
          <w:lang w:val="es-MX"/>
        </w:rPr>
        <w:t>PREA</w:t>
      </w:r>
      <w:r w:rsidR="00BD1402" w:rsidRPr="00EE7190">
        <w:rPr>
          <w:sz w:val="26"/>
          <w:szCs w:val="26"/>
          <w:lang w:val="es-MX"/>
        </w:rPr>
        <w:t xml:space="preserve"> exige</w:t>
      </w:r>
      <w:r w:rsidR="008D7655" w:rsidRPr="00EE7190">
        <w:rPr>
          <w:sz w:val="26"/>
          <w:szCs w:val="26"/>
          <w:lang w:val="es-MX"/>
        </w:rPr>
        <w:t>n</w:t>
      </w:r>
      <w:r w:rsidR="00BD1402" w:rsidRPr="00EE7190">
        <w:rPr>
          <w:sz w:val="26"/>
          <w:szCs w:val="26"/>
          <w:lang w:val="es-MX"/>
        </w:rPr>
        <w:t xml:space="preserve"> a las agencias correccionales la protección de las personas encarceladas del abuso sexual, y pide</w:t>
      </w:r>
      <w:r w:rsidR="008D7655" w:rsidRPr="00EE7190">
        <w:rPr>
          <w:sz w:val="26"/>
          <w:szCs w:val="26"/>
          <w:lang w:val="es-MX"/>
        </w:rPr>
        <w:t>n</w:t>
      </w:r>
      <w:r w:rsidR="00BD1402" w:rsidRPr="00EE7190">
        <w:rPr>
          <w:sz w:val="26"/>
          <w:szCs w:val="26"/>
          <w:lang w:val="es-MX"/>
        </w:rPr>
        <w:t xml:space="preserve"> que esas agencias tengan ciertas políticas y procedimientos para proteger a la gente de un abuso sexual</w:t>
      </w:r>
      <w:r w:rsidR="00B553A9" w:rsidRPr="00EE7190">
        <w:rPr>
          <w:sz w:val="26"/>
          <w:szCs w:val="26"/>
          <w:lang w:val="es-MX"/>
        </w:rPr>
        <w:t>.</w:t>
      </w:r>
      <w:r w:rsidR="00B553A9" w:rsidRPr="00EE7190">
        <w:rPr>
          <w:rStyle w:val="FootnoteReference"/>
          <w:sz w:val="26"/>
          <w:szCs w:val="26"/>
          <w:lang w:val="es-MX"/>
        </w:rPr>
        <w:footnoteReference w:id="10"/>
      </w:r>
      <w:r w:rsidR="00EE7190">
        <w:rPr>
          <w:sz w:val="26"/>
          <w:szCs w:val="26"/>
          <w:vertAlign w:val="superscript"/>
          <w:lang w:val="es-MX"/>
        </w:rPr>
        <w:t xml:space="preserve"> </w:t>
      </w:r>
      <w:r w:rsidR="00BD1402" w:rsidRPr="00EE7190">
        <w:rPr>
          <w:sz w:val="26"/>
          <w:szCs w:val="26"/>
          <w:lang w:val="es-MX"/>
        </w:rPr>
        <w:t>Las agencias de detención estatales y locales debe</w:t>
      </w:r>
      <w:r w:rsidR="008D7655" w:rsidRPr="00EE7190">
        <w:rPr>
          <w:sz w:val="26"/>
          <w:szCs w:val="26"/>
          <w:lang w:val="es-MX"/>
        </w:rPr>
        <w:t>n</w:t>
      </w:r>
      <w:r w:rsidR="00BD1402" w:rsidRPr="00EE7190">
        <w:rPr>
          <w:sz w:val="26"/>
          <w:szCs w:val="26"/>
          <w:lang w:val="es-MX"/>
        </w:rPr>
        <w:t xml:space="preserve"> ser auditadas regularmente y corren el riesgo de perder parte de sus fondos federales si ellas no cumplen con las regulaciones</w:t>
      </w:r>
      <w:r w:rsidR="00B553A9" w:rsidRPr="00EE7190">
        <w:rPr>
          <w:sz w:val="26"/>
          <w:szCs w:val="26"/>
          <w:lang w:val="es-MX"/>
        </w:rPr>
        <w:t>.</w:t>
      </w:r>
      <w:r w:rsidR="00B553A9" w:rsidRPr="00EE7190">
        <w:rPr>
          <w:rStyle w:val="FootnoteReference"/>
          <w:sz w:val="26"/>
          <w:szCs w:val="26"/>
          <w:lang w:val="es-MX"/>
        </w:rPr>
        <w:footnoteReference w:id="11"/>
      </w:r>
      <w:r w:rsidR="00EE7190">
        <w:rPr>
          <w:sz w:val="26"/>
          <w:szCs w:val="26"/>
          <w:vertAlign w:val="superscript"/>
          <w:lang w:val="es-MX"/>
        </w:rPr>
        <w:t xml:space="preserve"> </w:t>
      </w:r>
    </w:p>
    <w:p w:rsidR="000B50F0" w:rsidRPr="00EE7190" w:rsidRDefault="000B50F0" w:rsidP="001C11C0">
      <w:pPr>
        <w:jc w:val="both"/>
        <w:rPr>
          <w:sz w:val="26"/>
          <w:szCs w:val="26"/>
          <w:lang w:val="es-MX"/>
        </w:rPr>
      </w:pPr>
    </w:p>
    <w:p w:rsidR="00FD125D" w:rsidRPr="00EE7190" w:rsidRDefault="00F577AC" w:rsidP="001C11C0">
      <w:pPr>
        <w:ind w:firstLine="720"/>
        <w:jc w:val="both"/>
        <w:rPr>
          <w:sz w:val="26"/>
          <w:szCs w:val="26"/>
          <w:lang w:val="es-MX"/>
        </w:rPr>
      </w:pPr>
      <w:r w:rsidRPr="00EE7190">
        <w:rPr>
          <w:sz w:val="26"/>
          <w:szCs w:val="26"/>
          <w:lang w:val="es-MX"/>
        </w:rPr>
        <w:t>El Departamento de Correcciones de Arizona (“ADC” por sus siglas en inglés) adoptó la Orden de Departamento 125 (“D.O. 125) con respecto a la denuncia de delitos sexuales, la cual entró en vigor el 14 de Mayo del 2014, y fue enmendada más recientemente el 30 de Mayo del 2018</w:t>
      </w:r>
      <w:r w:rsidR="00B553A9" w:rsidRPr="00EE7190">
        <w:rPr>
          <w:sz w:val="26"/>
          <w:szCs w:val="26"/>
          <w:lang w:val="es-MX"/>
        </w:rPr>
        <w:t>.</w:t>
      </w:r>
      <w:r w:rsidR="00B553A9" w:rsidRPr="00EE7190">
        <w:rPr>
          <w:rStyle w:val="FootnoteReference"/>
          <w:sz w:val="26"/>
          <w:szCs w:val="26"/>
          <w:lang w:val="es-MX"/>
        </w:rPr>
        <w:footnoteReference w:id="12"/>
      </w:r>
      <w:r w:rsidR="00EE7190">
        <w:rPr>
          <w:sz w:val="26"/>
          <w:szCs w:val="26"/>
          <w:lang w:val="es-MX"/>
        </w:rPr>
        <w:t xml:space="preserve"> </w:t>
      </w:r>
      <w:r w:rsidRPr="00EE7190">
        <w:rPr>
          <w:sz w:val="26"/>
          <w:szCs w:val="26"/>
          <w:lang w:val="es-MX"/>
        </w:rPr>
        <w:t xml:space="preserve">Esta establece que </w:t>
      </w:r>
      <w:proofErr w:type="spellStart"/>
      <w:r w:rsidRPr="00EE7190">
        <w:rPr>
          <w:sz w:val="26"/>
          <w:szCs w:val="26"/>
          <w:lang w:val="es-MX"/>
        </w:rPr>
        <w:t>ADC</w:t>
      </w:r>
      <w:proofErr w:type="spellEnd"/>
      <w:r w:rsidRPr="00EE7190">
        <w:rPr>
          <w:sz w:val="26"/>
          <w:szCs w:val="26"/>
          <w:lang w:val="es-MX"/>
        </w:rPr>
        <w:t xml:space="preserve"> tiene “tolerancia cero a</w:t>
      </w:r>
      <w:r w:rsidR="008D7655" w:rsidRPr="00EE7190">
        <w:rPr>
          <w:sz w:val="26"/>
          <w:szCs w:val="26"/>
          <w:lang w:val="es-MX"/>
        </w:rPr>
        <w:t>l</w:t>
      </w:r>
      <w:r w:rsidRPr="00EE7190">
        <w:rPr>
          <w:sz w:val="26"/>
          <w:szCs w:val="26"/>
          <w:lang w:val="es-MX"/>
        </w:rPr>
        <w:t xml:space="preserve"> contacto sexual de cualquier tipo con internos y delincuentes, incluyendo acoso, conducta, agresión y /o contacto</w:t>
      </w:r>
      <w:r w:rsidR="008D7655" w:rsidRPr="00EE7190">
        <w:rPr>
          <w:sz w:val="26"/>
          <w:szCs w:val="26"/>
          <w:lang w:val="es-MX"/>
        </w:rPr>
        <w:t xml:space="preserve"> sexual </w:t>
      </w:r>
      <w:r w:rsidRPr="00EE7190">
        <w:rPr>
          <w:sz w:val="26"/>
          <w:szCs w:val="26"/>
          <w:lang w:val="es-MX"/>
        </w:rPr>
        <w:t>, por parte de los internos, personal, co</w:t>
      </w:r>
      <w:r w:rsidR="00FD125D" w:rsidRPr="00EE7190">
        <w:rPr>
          <w:sz w:val="26"/>
          <w:szCs w:val="26"/>
          <w:lang w:val="es-MX"/>
        </w:rPr>
        <w:t>ntratistas, voluntarios y otros</w:t>
      </w:r>
      <w:r w:rsidR="00B553A9" w:rsidRPr="00EE7190">
        <w:rPr>
          <w:sz w:val="26"/>
          <w:szCs w:val="26"/>
          <w:lang w:val="es-MX"/>
        </w:rPr>
        <w:t>.”</w:t>
      </w:r>
      <w:r w:rsidR="00B553A9" w:rsidRPr="00EE7190">
        <w:rPr>
          <w:rStyle w:val="FootnoteReference"/>
          <w:sz w:val="26"/>
          <w:szCs w:val="26"/>
          <w:lang w:val="es-MX"/>
        </w:rPr>
        <w:footnoteReference w:id="13"/>
      </w:r>
      <w:r w:rsidR="00B553A9" w:rsidRPr="00EE7190">
        <w:rPr>
          <w:sz w:val="26"/>
          <w:szCs w:val="26"/>
          <w:lang w:val="es-MX"/>
        </w:rPr>
        <w:t xml:space="preserve"> </w:t>
      </w:r>
      <w:r w:rsidR="00FD125D" w:rsidRPr="00EE7190">
        <w:rPr>
          <w:sz w:val="26"/>
          <w:szCs w:val="26"/>
          <w:lang w:val="es-MX"/>
        </w:rPr>
        <w:t>La orden incluye información sobre medidas</w:t>
      </w:r>
      <w:r w:rsidR="00EE7190">
        <w:rPr>
          <w:sz w:val="26"/>
          <w:szCs w:val="26"/>
          <w:lang w:val="es-MX"/>
        </w:rPr>
        <w:t xml:space="preserve"> </w:t>
      </w:r>
      <w:r w:rsidR="00FD125D" w:rsidRPr="00EE7190">
        <w:rPr>
          <w:sz w:val="26"/>
          <w:szCs w:val="26"/>
          <w:lang w:val="es-MX"/>
        </w:rPr>
        <w:t>de rendición de cuentas, prevención e intervención / respuestas apropiadas a agresiones sexuales y mala conducta. Si a usted le gustaría una copia gratuita del D.O. 125, por favor escríbanos de nuevo.</w:t>
      </w:r>
    </w:p>
    <w:p w:rsidR="00B553A9" w:rsidRPr="00EE7190" w:rsidRDefault="00B553A9" w:rsidP="001C11C0">
      <w:pPr>
        <w:ind w:firstLine="720"/>
        <w:jc w:val="both"/>
        <w:rPr>
          <w:sz w:val="26"/>
          <w:szCs w:val="26"/>
          <w:lang w:val="es-MX"/>
        </w:rPr>
      </w:pPr>
    </w:p>
    <w:p w:rsidR="00B553A9" w:rsidRPr="00EE7190" w:rsidRDefault="00B553A9" w:rsidP="001C11C0">
      <w:pPr>
        <w:autoSpaceDE w:val="0"/>
        <w:autoSpaceDN w:val="0"/>
        <w:adjustRightInd w:val="0"/>
        <w:jc w:val="both"/>
        <w:rPr>
          <w:sz w:val="26"/>
          <w:szCs w:val="26"/>
          <w:lang w:val="es-MX"/>
        </w:rPr>
      </w:pPr>
    </w:p>
    <w:p w:rsidR="00B553A9" w:rsidRPr="00EE7190" w:rsidRDefault="00FD125D" w:rsidP="001C11C0">
      <w:pPr>
        <w:pStyle w:val="ListParagraph"/>
        <w:numPr>
          <w:ilvl w:val="0"/>
          <w:numId w:val="11"/>
        </w:numPr>
        <w:autoSpaceDE w:val="0"/>
        <w:autoSpaceDN w:val="0"/>
        <w:adjustRightInd w:val="0"/>
        <w:jc w:val="both"/>
        <w:rPr>
          <w:b/>
          <w:sz w:val="26"/>
          <w:szCs w:val="26"/>
          <w:lang w:val="es-MX"/>
        </w:rPr>
      </w:pPr>
      <w:r w:rsidRPr="00EE7190">
        <w:rPr>
          <w:b/>
          <w:sz w:val="26"/>
          <w:szCs w:val="26"/>
          <w:lang w:val="es-MX"/>
        </w:rPr>
        <w:lastRenderedPageBreak/>
        <w:t>Mala Conducta del Personal Penitenciario</w:t>
      </w:r>
    </w:p>
    <w:p w:rsidR="00B553A9" w:rsidRPr="00EE7190" w:rsidRDefault="00B553A9" w:rsidP="001C11C0">
      <w:pPr>
        <w:pStyle w:val="ListParagraph"/>
        <w:autoSpaceDE w:val="0"/>
        <w:autoSpaceDN w:val="0"/>
        <w:adjustRightInd w:val="0"/>
        <w:ind w:left="1170"/>
        <w:jc w:val="both"/>
        <w:rPr>
          <w:sz w:val="26"/>
          <w:szCs w:val="26"/>
          <w:lang w:val="es-MX"/>
        </w:rPr>
      </w:pPr>
    </w:p>
    <w:p w:rsidR="00B553A9" w:rsidRPr="00EE7190" w:rsidRDefault="008D7655" w:rsidP="001C11C0">
      <w:pPr>
        <w:autoSpaceDE w:val="0"/>
        <w:autoSpaceDN w:val="0"/>
        <w:adjustRightInd w:val="0"/>
        <w:ind w:firstLine="720"/>
        <w:jc w:val="both"/>
        <w:rPr>
          <w:sz w:val="26"/>
          <w:szCs w:val="26"/>
          <w:lang w:val="es-MX"/>
        </w:rPr>
      </w:pPr>
      <w:r w:rsidRPr="00EE7190">
        <w:rPr>
          <w:sz w:val="26"/>
          <w:szCs w:val="26"/>
          <w:lang w:val="es-MX"/>
        </w:rPr>
        <w:t xml:space="preserve"> El </w:t>
      </w:r>
      <w:r w:rsidR="000B50F0" w:rsidRPr="00EE7190">
        <w:rPr>
          <w:sz w:val="26"/>
          <w:szCs w:val="26"/>
          <w:lang w:val="es-MX"/>
        </w:rPr>
        <w:t>D.O. 125</w:t>
      </w:r>
      <w:r w:rsidRPr="00EE7190">
        <w:rPr>
          <w:sz w:val="26"/>
          <w:szCs w:val="26"/>
          <w:lang w:val="es-MX"/>
        </w:rPr>
        <w:t xml:space="preserve"> prohíbe el contacto o conducta sexual entre el personal penitenciario y las personas encarceladas</w:t>
      </w:r>
      <w:r w:rsidR="00B553A9" w:rsidRPr="00EE7190">
        <w:rPr>
          <w:sz w:val="26"/>
          <w:szCs w:val="26"/>
          <w:lang w:val="es-MX"/>
        </w:rPr>
        <w:t>.</w:t>
      </w:r>
      <w:r w:rsidR="00B553A9" w:rsidRPr="00EE7190">
        <w:rPr>
          <w:rStyle w:val="FootnoteReference"/>
          <w:sz w:val="26"/>
          <w:szCs w:val="26"/>
          <w:lang w:val="es-MX"/>
        </w:rPr>
        <w:footnoteReference w:id="14"/>
      </w:r>
      <w:r w:rsidR="00B553A9" w:rsidRPr="00EE7190">
        <w:rPr>
          <w:sz w:val="26"/>
          <w:szCs w:val="26"/>
          <w:lang w:val="es-MX"/>
        </w:rPr>
        <w:t xml:space="preserve"> </w:t>
      </w:r>
      <w:r w:rsidRPr="00EE7190">
        <w:rPr>
          <w:sz w:val="26"/>
          <w:szCs w:val="26"/>
          <w:lang w:val="es-MX"/>
        </w:rPr>
        <w:t>El personal penitenciario no puede argumentar que una persona encarcelada consintió en el comportamiento</w:t>
      </w:r>
      <w:r w:rsidR="00B553A9" w:rsidRPr="00EE7190">
        <w:rPr>
          <w:sz w:val="26"/>
          <w:szCs w:val="26"/>
          <w:lang w:val="es-MX"/>
        </w:rPr>
        <w:t>.</w:t>
      </w:r>
      <w:r w:rsidR="00B553A9" w:rsidRPr="00EE7190">
        <w:rPr>
          <w:rStyle w:val="FootnoteReference"/>
          <w:sz w:val="26"/>
          <w:szCs w:val="26"/>
          <w:lang w:val="es-MX"/>
        </w:rPr>
        <w:footnoteReference w:id="15"/>
      </w:r>
      <w:r w:rsidR="00B553A9" w:rsidRPr="00EE7190">
        <w:rPr>
          <w:sz w:val="26"/>
          <w:szCs w:val="26"/>
          <w:lang w:val="es-MX"/>
        </w:rPr>
        <w:t xml:space="preserve"> </w:t>
      </w:r>
      <w:r w:rsidRPr="00EE7190">
        <w:rPr>
          <w:sz w:val="26"/>
          <w:szCs w:val="26"/>
          <w:lang w:val="es-MX"/>
        </w:rPr>
        <w:t>Una conducta sexual ilegal es “cualquier acto</w:t>
      </w:r>
      <w:r w:rsidR="00C209FB" w:rsidRPr="00EE7190">
        <w:rPr>
          <w:sz w:val="26"/>
          <w:szCs w:val="26"/>
          <w:lang w:val="es-MX"/>
        </w:rPr>
        <w:t xml:space="preserve"> de naturaleza sexual” con una persona que está en custodia o bajo supervisión de ADC</w:t>
      </w:r>
      <w:r w:rsidR="00B553A9" w:rsidRPr="00EE7190">
        <w:rPr>
          <w:sz w:val="26"/>
          <w:szCs w:val="26"/>
          <w:lang w:val="es-MX"/>
        </w:rPr>
        <w:t>.</w:t>
      </w:r>
      <w:r w:rsidR="00B553A9" w:rsidRPr="00EE7190">
        <w:rPr>
          <w:rStyle w:val="FootnoteReference"/>
          <w:sz w:val="26"/>
          <w:szCs w:val="26"/>
          <w:lang w:val="es-MX"/>
        </w:rPr>
        <w:footnoteReference w:id="16"/>
      </w:r>
      <w:r w:rsidR="00B553A9" w:rsidRPr="00EE7190">
        <w:rPr>
          <w:sz w:val="26"/>
          <w:szCs w:val="26"/>
          <w:lang w:val="es-MX"/>
        </w:rPr>
        <w:t xml:space="preserve"> </w:t>
      </w:r>
      <w:r w:rsidR="00C209FB" w:rsidRPr="00EE7190">
        <w:rPr>
          <w:sz w:val="26"/>
          <w:szCs w:val="26"/>
          <w:lang w:val="es-MX"/>
        </w:rPr>
        <w:t>El personal penitenciario que se involucra en una conducta sexual ilegal</w:t>
      </w:r>
      <w:r w:rsidR="00EE7190">
        <w:rPr>
          <w:sz w:val="26"/>
          <w:szCs w:val="26"/>
          <w:lang w:val="es-MX"/>
        </w:rPr>
        <w:t xml:space="preserve"> </w:t>
      </w:r>
      <w:r w:rsidR="00C209FB" w:rsidRPr="00EE7190">
        <w:rPr>
          <w:sz w:val="26"/>
          <w:szCs w:val="26"/>
          <w:lang w:val="es-MX"/>
        </w:rPr>
        <w:t>es sujeto a una acción disciplinaria incluyendo posible despido y puede también ser referido a una acusación criminal.</w:t>
      </w:r>
      <w:r w:rsidR="00B553A9" w:rsidRPr="00EE7190">
        <w:rPr>
          <w:sz w:val="26"/>
          <w:szCs w:val="26"/>
          <w:lang w:val="es-MX"/>
        </w:rPr>
        <w:t>.</w:t>
      </w:r>
      <w:r w:rsidR="00B553A9" w:rsidRPr="00EE7190">
        <w:rPr>
          <w:rStyle w:val="FootnoteReference"/>
          <w:sz w:val="26"/>
          <w:szCs w:val="26"/>
          <w:lang w:val="es-MX"/>
        </w:rPr>
        <w:footnoteReference w:id="17"/>
      </w:r>
      <w:r w:rsidR="00EE7190">
        <w:rPr>
          <w:sz w:val="26"/>
          <w:szCs w:val="26"/>
          <w:lang w:val="es-MX"/>
        </w:rPr>
        <w:t xml:space="preserve"> </w:t>
      </w:r>
    </w:p>
    <w:p w:rsidR="00B553A9" w:rsidRPr="00EE7190" w:rsidRDefault="00B553A9" w:rsidP="001C11C0">
      <w:pPr>
        <w:autoSpaceDE w:val="0"/>
        <w:autoSpaceDN w:val="0"/>
        <w:adjustRightInd w:val="0"/>
        <w:jc w:val="both"/>
        <w:rPr>
          <w:sz w:val="26"/>
          <w:szCs w:val="26"/>
          <w:lang w:val="es-MX"/>
        </w:rPr>
      </w:pPr>
    </w:p>
    <w:p w:rsidR="00B553A9" w:rsidRPr="00EE7190" w:rsidRDefault="00C209FB" w:rsidP="001C11C0">
      <w:pPr>
        <w:pStyle w:val="ListParagraph"/>
        <w:numPr>
          <w:ilvl w:val="0"/>
          <w:numId w:val="11"/>
        </w:numPr>
        <w:autoSpaceDE w:val="0"/>
        <w:autoSpaceDN w:val="0"/>
        <w:adjustRightInd w:val="0"/>
        <w:jc w:val="both"/>
        <w:rPr>
          <w:b/>
          <w:sz w:val="26"/>
          <w:szCs w:val="26"/>
          <w:lang w:val="es-MX"/>
        </w:rPr>
      </w:pPr>
      <w:r w:rsidRPr="00EE7190">
        <w:rPr>
          <w:b/>
          <w:sz w:val="26"/>
          <w:szCs w:val="26"/>
          <w:lang w:val="es-MX"/>
        </w:rPr>
        <w:t>Mala conducta de las Personas Encarceladas</w:t>
      </w:r>
    </w:p>
    <w:p w:rsidR="00B553A9" w:rsidRPr="00EE7190" w:rsidRDefault="00B553A9" w:rsidP="001C11C0">
      <w:pPr>
        <w:autoSpaceDE w:val="0"/>
        <w:autoSpaceDN w:val="0"/>
        <w:adjustRightInd w:val="0"/>
        <w:jc w:val="both"/>
        <w:rPr>
          <w:b/>
          <w:sz w:val="26"/>
          <w:szCs w:val="26"/>
          <w:lang w:val="es-MX"/>
        </w:rPr>
      </w:pPr>
    </w:p>
    <w:p w:rsidR="00B553A9" w:rsidRPr="00EE7190" w:rsidRDefault="009F563A" w:rsidP="001C11C0">
      <w:pPr>
        <w:autoSpaceDE w:val="0"/>
        <w:autoSpaceDN w:val="0"/>
        <w:adjustRightInd w:val="0"/>
        <w:jc w:val="both"/>
        <w:rPr>
          <w:sz w:val="26"/>
          <w:szCs w:val="26"/>
          <w:lang w:val="es-MX"/>
        </w:rPr>
      </w:pPr>
      <w:r w:rsidRPr="00EE7190">
        <w:rPr>
          <w:sz w:val="26"/>
          <w:szCs w:val="26"/>
          <w:lang w:val="es-MX"/>
        </w:rPr>
        <w:tab/>
      </w:r>
      <w:r w:rsidR="00B553A9" w:rsidRPr="00EE7190">
        <w:rPr>
          <w:sz w:val="26"/>
          <w:szCs w:val="26"/>
          <w:lang w:val="es-MX"/>
        </w:rPr>
        <w:t>“</w:t>
      </w:r>
      <w:r w:rsidR="00C209FB" w:rsidRPr="00EE7190">
        <w:rPr>
          <w:sz w:val="26"/>
          <w:szCs w:val="26"/>
          <w:lang w:val="es-MX"/>
        </w:rPr>
        <w:t xml:space="preserve">El contacto sexual </w:t>
      </w:r>
      <w:proofErr w:type="spellStart"/>
      <w:r w:rsidR="00C209FB" w:rsidRPr="00EE7190">
        <w:rPr>
          <w:sz w:val="26"/>
          <w:szCs w:val="26"/>
          <w:lang w:val="es-MX"/>
        </w:rPr>
        <w:t>abusive</w:t>
      </w:r>
      <w:proofErr w:type="spellEnd"/>
      <w:r w:rsidR="00C209FB" w:rsidRPr="00EE7190">
        <w:rPr>
          <w:sz w:val="26"/>
          <w:szCs w:val="26"/>
          <w:lang w:val="es-MX"/>
        </w:rPr>
        <w:t xml:space="preserve"> y cualquier contacto sexual (actos sexuales consensuados o no consensuados) entre internos están estrictamente </w:t>
      </w:r>
      <w:proofErr w:type="spellStart"/>
      <w:r w:rsidR="00C209FB" w:rsidRPr="00EE7190">
        <w:rPr>
          <w:sz w:val="26"/>
          <w:szCs w:val="26"/>
          <w:lang w:val="es-MX"/>
        </w:rPr>
        <w:t>prohíbidos</w:t>
      </w:r>
      <w:proofErr w:type="spellEnd"/>
      <w:r w:rsidR="00B553A9" w:rsidRPr="00EE7190">
        <w:rPr>
          <w:sz w:val="26"/>
          <w:szCs w:val="26"/>
          <w:lang w:val="es-MX"/>
        </w:rPr>
        <w:t>.”</w:t>
      </w:r>
      <w:r w:rsidR="00B553A9" w:rsidRPr="00EE7190">
        <w:rPr>
          <w:rStyle w:val="FootnoteReference"/>
          <w:sz w:val="26"/>
          <w:szCs w:val="26"/>
          <w:lang w:val="es-MX"/>
        </w:rPr>
        <w:footnoteReference w:id="18"/>
      </w:r>
      <w:r w:rsidR="00EE7190">
        <w:rPr>
          <w:sz w:val="26"/>
          <w:szCs w:val="26"/>
          <w:lang w:val="es-MX"/>
        </w:rPr>
        <w:t xml:space="preserve"> </w:t>
      </w:r>
      <w:r w:rsidR="00C209FB" w:rsidRPr="00EE7190">
        <w:rPr>
          <w:sz w:val="26"/>
          <w:szCs w:val="26"/>
          <w:lang w:val="es-MX"/>
        </w:rPr>
        <w:t>Las personas encarceladas que sexualmente atacan otras personas encarceladas pueden merecedoras de reglas de violación disciplinarias serias, cambiadas a un alto nivel de custodia y puede también ser referidos a una acusación criminal</w:t>
      </w:r>
      <w:r w:rsidR="00B553A9" w:rsidRPr="00EE7190">
        <w:rPr>
          <w:sz w:val="26"/>
          <w:szCs w:val="26"/>
          <w:lang w:val="es-MX"/>
        </w:rPr>
        <w:t>.</w:t>
      </w:r>
      <w:r w:rsidR="00B553A9" w:rsidRPr="00EE7190">
        <w:rPr>
          <w:rStyle w:val="FootnoteReference"/>
          <w:sz w:val="26"/>
          <w:szCs w:val="26"/>
          <w:lang w:val="es-MX"/>
        </w:rPr>
        <w:footnoteReference w:id="19"/>
      </w:r>
      <w:r w:rsidR="00EE7190">
        <w:rPr>
          <w:sz w:val="26"/>
          <w:szCs w:val="26"/>
          <w:lang w:val="es-MX"/>
        </w:rPr>
        <w:t xml:space="preserve"> </w:t>
      </w:r>
      <w:r w:rsidR="00761C00" w:rsidRPr="00EE7190">
        <w:rPr>
          <w:sz w:val="26"/>
          <w:szCs w:val="26"/>
          <w:lang w:val="es-MX"/>
        </w:rPr>
        <w:t>La acusación criminal puede resultar en recibir tiempo adicional en prisión y ser registrado como agresor sexual</w:t>
      </w:r>
      <w:r w:rsidR="00B553A9" w:rsidRPr="00EE7190">
        <w:rPr>
          <w:sz w:val="26"/>
          <w:szCs w:val="26"/>
          <w:lang w:val="es-MX"/>
        </w:rPr>
        <w:t>.</w:t>
      </w:r>
      <w:r w:rsidR="00B553A9" w:rsidRPr="00EE7190">
        <w:rPr>
          <w:rStyle w:val="FootnoteReference"/>
          <w:sz w:val="26"/>
          <w:szCs w:val="26"/>
          <w:lang w:val="es-MX"/>
        </w:rPr>
        <w:footnoteReference w:id="20"/>
      </w:r>
      <w:r w:rsidR="00EE7190">
        <w:rPr>
          <w:sz w:val="26"/>
          <w:szCs w:val="26"/>
          <w:lang w:val="es-MX"/>
        </w:rPr>
        <w:t xml:space="preserve"> </w:t>
      </w:r>
      <w:r w:rsidR="00761C00" w:rsidRPr="00EE7190">
        <w:rPr>
          <w:sz w:val="26"/>
          <w:szCs w:val="26"/>
          <w:lang w:val="es-MX"/>
        </w:rPr>
        <w:t xml:space="preserve">Disposiciones adicionales de la Orden 125 son discutidas abajo en la Sección II. </w:t>
      </w:r>
    </w:p>
    <w:p w:rsidR="00B553A9" w:rsidRPr="00EE7190" w:rsidRDefault="00B553A9" w:rsidP="001C11C0">
      <w:pPr>
        <w:pStyle w:val="BiABC0"/>
        <w:jc w:val="both"/>
        <w:outlineLvl w:val="1"/>
        <w:rPr>
          <w:sz w:val="26"/>
          <w:szCs w:val="26"/>
          <w:lang w:val="es-MX"/>
        </w:rPr>
      </w:pPr>
      <w:bookmarkStart w:id="6" w:name="_Toc11662503"/>
      <w:bookmarkStart w:id="7" w:name="_Toc11662663"/>
      <w:r w:rsidRPr="00EE7190">
        <w:rPr>
          <w:sz w:val="26"/>
          <w:szCs w:val="26"/>
          <w:lang w:val="es-MX"/>
        </w:rPr>
        <w:lastRenderedPageBreak/>
        <w:t>C.</w:t>
      </w:r>
      <w:r w:rsidRPr="00EE7190">
        <w:rPr>
          <w:sz w:val="26"/>
          <w:szCs w:val="26"/>
          <w:lang w:val="es-MX"/>
        </w:rPr>
        <w:tab/>
      </w:r>
      <w:r w:rsidR="0031276A" w:rsidRPr="00EE7190">
        <w:rPr>
          <w:sz w:val="26"/>
          <w:szCs w:val="26"/>
          <w:lang w:val="es-MX"/>
        </w:rPr>
        <w:t xml:space="preserve">Legislación Penal de </w:t>
      </w:r>
      <w:r w:rsidRPr="00EE7190">
        <w:rPr>
          <w:sz w:val="26"/>
          <w:szCs w:val="26"/>
          <w:lang w:val="es-MX"/>
        </w:rPr>
        <w:t xml:space="preserve">Arizona </w:t>
      </w:r>
      <w:bookmarkEnd w:id="6"/>
      <w:bookmarkEnd w:id="7"/>
    </w:p>
    <w:p w:rsidR="00B553A9" w:rsidRPr="00EE7190" w:rsidRDefault="0031276A" w:rsidP="001C11C0">
      <w:pPr>
        <w:ind w:firstLine="720"/>
        <w:jc w:val="both"/>
        <w:rPr>
          <w:sz w:val="26"/>
          <w:szCs w:val="26"/>
          <w:lang w:val="es-MX"/>
        </w:rPr>
      </w:pPr>
      <w:r w:rsidRPr="00EE7190">
        <w:rPr>
          <w:sz w:val="26"/>
          <w:szCs w:val="26"/>
          <w:lang w:val="es-MX"/>
        </w:rPr>
        <w:t xml:space="preserve">La violación y otros tipos de ataques sexuales forzados o </w:t>
      </w:r>
      <w:proofErr w:type="spellStart"/>
      <w:r w:rsidRPr="00EE7190">
        <w:rPr>
          <w:sz w:val="26"/>
          <w:szCs w:val="26"/>
          <w:lang w:val="es-MX"/>
        </w:rPr>
        <w:t>coercionados</w:t>
      </w:r>
      <w:proofErr w:type="spellEnd"/>
      <w:r w:rsidRPr="00EE7190">
        <w:rPr>
          <w:sz w:val="26"/>
          <w:szCs w:val="26"/>
          <w:lang w:val="es-MX"/>
        </w:rPr>
        <w:t xml:space="preserve"> son penados bajo la legislación de Arizona</w:t>
      </w:r>
      <w:r w:rsidR="00B553A9" w:rsidRPr="00EE7190">
        <w:rPr>
          <w:sz w:val="26"/>
          <w:szCs w:val="26"/>
          <w:lang w:val="es-MX"/>
        </w:rPr>
        <w:t>.</w:t>
      </w:r>
      <w:r w:rsidR="00B553A9" w:rsidRPr="00EE7190">
        <w:rPr>
          <w:rStyle w:val="FootnoteReference"/>
          <w:sz w:val="26"/>
          <w:szCs w:val="26"/>
          <w:lang w:val="es-MX"/>
        </w:rPr>
        <w:footnoteReference w:id="21"/>
      </w:r>
      <w:r w:rsidR="00EE7190">
        <w:rPr>
          <w:sz w:val="26"/>
          <w:szCs w:val="26"/>
          <w:vertAlign w:val="superscript"/>
          <w:lang w:val="es-MX"/>
        </w:rPr>
        <w:t xml:space="preserve"> </w:t>
      </w:r>
      <w:r w:rsidRPr="00EE7190">
        <w:rPr>
          <w:sz w:val="26"/>
          <w:szCs w:val="26"/>
          <w:lang w:val="es-MX"/>
        </w:rPr>
        <w:t xml:space="preserve">La legislación aplica </w:t>
      </w:r>
      <w:r w:rsidR="00236C8B" w:rsidRPr="00EE7190">
        <w:rPr>
          <w:sz w:val="26"/>
          <w:szCs w:val="26"/>
          <w:lang w:val="es-MX"/>
        </w:rPr>
        <w:t>independientemente si la persona que comete el ataque está encarcelada o es un empleado penitenciario</w:t>
      </w:r>
      <w:r w:rsidR="00B553A9" w:rsidRPr="00EE7190">
        <w:rPr>
          <w:sz w:val="26"/>
          <w:szCs w:val="26"/>
          <w:lang w:val="es-MX"/>
        </w:rPr>
        <w:t>.</w:t>
      </w:r>
      <w:r w:rsidR="00B553A9" w:rsidRPr="00EE7190">
        <w:rPr>
          <w:rStyle w:val="FootnoteReference"/>
          <w:sz w:val="26"/>
          <w:szCs w:val="26"/>
          <w:lang w:val="es-MX"/>
        </w:rPr>
        <w:footnoteReference w:id="22"/>
      </w:r>
      <w:r w:rsidR="00EE7190">
        <w:rPr>
          <w:sz w:val="26"/>
          <w:szCs w:val="26"/>
          <w:lang w:val="es-MX"/>
        </w:rPr>
        <w:t xml:space="preserve"> </w:t>
      </w:r>
      <w:r w:rsidR="00236C8B" w:rsidRPr="00EE7190">
        <w:rPr>
          <w:sz w:val="26"/>
          <w:szCs w:val="26"/>
          <w:lang w:val="es-MX"/>
        </w:rPr>
        <w:t>El ataque sexual debe ser referido a un órgano de investigación penal</w:t>
      </w:r>
      <w:r w:rsidR="00B553A9" w:rsidRPr="00EE7190">
        <w:rPr>
          <w:sz w:val="26"/>
          <w:szCs w:val="26"/>
          <w:lang w:val="es-MX"/>
        </w:rPr>
        <w:t>.</w:t>
      </w:r>
      <w:r w:rsidR="00B553A9" w:rsidRPr="00EE7190">
        <w:rPr>
          <w:rStyle w:val="FootnoteReference"/>
          <w:sz w:val="26"/>
          <w:szCs w:val="26"/>
          <w:lang w:val="es-MX"/>
        </w:rPr>
        <w:footnoteReference w:id="23"/>
      </w:r>
      <w:r w:rsidR="00EE7190">
        <w:rPr>
          <w:sz w:val="26"/>
          <w:szCs w:val="26"/>
          <w:lang w:val="es-MX"/>
        </w:rPr>
        <w:t xml:space="preserve"> </w:t>
      </w:r>
      <w:r w:rsidR="00236C8B" w:rsidRPr="00EE7190">
        <w:rPr>
          <w:sz w:val="26"/>
          <w:szCs w:val="26"/>
          <w:lang w:val="es-MX"/>
        </w:rPr>
        <w:t>El órgano de investigación penal entonces decidirá si continua con los cargos penales.</w:t>
      </w:r>
      <w:r w:rsidR="00B553A9" w:rsidRPr="00EE7190">
        <w:rPr>
          <w:sz w:val="26"/>
          <w:szCs w:val="26"/>
          <w:lang w:val="es-MX"/>
        </w:rPr>
        <w:t xml:space="preserve"> </w:t>
      </w:r>
    </w:p>
    <w:p w:rsidR="009F563A" w:rsidRPr="00EE7190" w:rsidRDefault="009F563A" w:rsidP="001C11C0">
      <w:pPr>
        <w:ind w:firstLine="720"/>
        <w:jc w:val="both"/>
        <w:rPr>
          <w:sz w:val="26"/>
          <w:szCs w:val="26"/>
          <w:lang w:val="es-MX"/>
        </w:rPr>
      </w:pPr>
    </w:p>
    <w:p w:rsidR="00B553A9" w:rsidRPr="00EE7190" w:rsidRDefault="00236C8B" w:rsidP="001C11C0">
      <w:pPr>
        <w:pStyle w:val="BII"/>
        <w:jc w:val="both"/>
        <w:outlineLvl w:val="0"/>
        <w:rPr>
          <w:rFonts w:cs="Times New Roman"/>
          <w:lang w:val="es-MX"/>
        </w:rPr>
      </w:pPr>
      <w:bookmarkStart w:id="8" w:name="_Toc11662504"/>
      <w:bookmarkStart w:id="9" w:name="_Toc11662664"/>
      <w:r w:rsidRPr="00EE7190">
        <w:rPr>
          <w:rFonts w:cs="Times New Roman"/>
          <w:lang w:val="es-MX"/>
        </w:rPr>
        <w:t>Acciones Inmediatas para Proteger la Salud y la Seguridad.</w:t>
      </w:r>
      <w:bookmarkEnd w:id="8"/>
      <w:bookmarkEnd w:id="9"/>
    </w:p>
    <w:p w:rsidR="00236C8B" w:rsidRPr="00EE7190" w:rsidRDefault="00236C8B" w:rsidP="001C11C0">
      <w:pPr>
        <w:ind w:firstLine="720"/>
        <w:jc w:val="both"/>
        <w:rPr>
          <w:sz w:val="26"/>
          <w:szCs w:val="26"/>
          <w:lang w:val="es-MX"/>
        </w:rPr>
      </w:pPr>
      <w:r w:rsidRPr="00EE7190">
        <w:rPr>
          <w:sz w:val="26"/>
          <w:szCs w:val="26"/>
          <w:lang w:val="es-MX"/>
        </w:rPr>
        <w:t xml:space="preserve">Si usted ha sufrido o supone que probablemente está sufriendo de un abuso sexual por parte del personal penitenciario o de parte de otra </w:t>
      </w:r>
      <w:proofErr w:type="spellStart"/>
      <w:r w:rsidRPr="00EE7190">
        <w:rPr>
          <w:sz w:val="26"/>
          <w:szCs w:val="26"/>
          <w:lang w:val="es-MX"/>
        </w:rPr>
        <w:t>paersona</w:t>
      </w:r>
      <w:proofErr w:type="spellEnd"/>
      <w:r w:rsidRPr="00EE7190">
        <w:rPr>
          <w:sz w:val="26"/>
          <w:szCs w:val="26"/>
          <w:lang w:val="es-MX"/>
        </w:rPr>
        <w:t xml:space="preserve"> encarcelada, entonces usted debe tomar una acción inmediata de protección de su salud y su seguridad.</w:t>
      </w:r>
    </w:p>
    <w:p w:rsidR="00B553A9" w:rsidRPr="00EE7190" w:rsidRDefault="00EE7190" w:rsidP="001C11C0">
      <w:pPr>
        <w:ind w:firstLine="720"/>
        <w:jc w:val="both"/>
        <w:rPr>
          <w:sz w:val="26"/>
          <w:szCs w:val="26"/>
          <w:lang w:val="es-MX"/>
        </w:rPr>
      </w:pPr>
      <w:r>
        <w:rPr>
          <w:sz w:val="26"/>
          <w:szCs w:val="26"/>
          <w:lang w:val="es-MX"/>
        </w:rPr>
        <w:t xml:space="preserve"> </w:t>
      </w:r>
    </w:p>
    <w:p w:rsidR="00B553A9" w:rsidRPr="00EE7190" w:rsidRDefault="00B553A9" w:rsidP="001C11C0">
      <w:pPr>
        <w:pStyle w:val="BiABC0"/>
        <w:jc w:val="both"/>
        <w:outlineLvl w:val="1"/>
        <w:rPr>
          <w:sz w:val="26"/>
          <w:szCs w:val="26"/>
          <w:lang w:val="es-MX"/>
        </w:rPr>
      </w:pPr>
      <w:bookmarkStart w:id="10" w:name="_Toc11662505"/>
      <w:bookmarkStart w:id="11" w:name="_Toc11662665"/>
      <w:r w:rsidRPr="00EE7190">
        <w:rPr>
          <w:sz w:val="26"/>
          <w:szCs w:val="26"/>
          <w:lang w:val="es-MX"/>
        </w:rPr>
        <w:t xml:space="preserve">A. </w:t>
      </w:r>
      <w:r w:rsidRPr="00EE7190">
        <w:rPr>
          <w:sz w:val="26"/>
          <w:szCs w:val="26"/>
          <w:lang w:val="es-MX"/>
        </w:rPr>
        <w:tab/>
      </w:r>
      <w:r w:rsidR="00236C8B" w:rsidRPr="00EE7190">
        <w:rPr>
          <w:sz w:val="26"/>
          <w:szCs w:val="26"/>
          <w:lang w:val="es-MX"/>
        </w:rPr>
        <w:t>Reportar un Abuso Sexual</w:t>
      </w:r>
      <w:bookmarkEnd w:id="10"/>
      <w:bookmarkEnd w:id="11"/>
    </w:p>
    <w:p w:rsidR="00236C8B" w:rsidRPr="00EE7190" w:rsidRDefault="00236C8B" w:rsidP="001C11C0">
      <w:pPr>
        <w:ind w:firstLine="720"/>
        <w:jc w:val="both"/>
        <w:rPr>
          <w:sz w:val="26"/>
          <w:szCs w:val="26"/>
          <w:lang w:val="es-MX"/>
        </w:rPr>
      </w:pPr>
      <w:r w:rsidRPr="00EE7190">
        <w:rPr>
          <w:sz w:val="26"/>
          <w:szCs w:val="26"/>
          <w:lang w:val="es-MX"/>
        </w:rPr>
        <w:t>Usted debe inmediatamente reportar los incidentes</w:t>
      </w:r>
      <w:r w:rsidR="00EE7190">
        <w:rPr>
          <w:sz w:val="26"/>
          <w:szCs w:val="26"/>
          <w:lang w:val="es-MX"/>
        </w:rPr>
        <w:t xml:space="preserve"> </w:t>
      </w:r>
      <w:r w:rsidRPr="00EE7190">
        <w:rPr>
          <w:sz w:val="26"/>
          <w:szCs w:val="26"/>
          <w:lang w:val="es-MX"/>
        </w:rPr>
        <w:t>de abuso sexual al personal penitenciario. Debe proporcionar todos los detalles como le sea posible,</w:t>
      </w:r>
      <w:r w:rsidR="00EE7190">
        <w:rPr>
          <w:sz w:val="26"/>
          <w:szCs w:val="26"/>
          <w:lang w:val="es-MX"/>
        </w:rPr>
        <w:t xml:space="preserve"> </w:t>
      </w:r>
      <w:r w:rsidR="0066041B" w:rsidRPr="00EE7190">
        <w:rPr>
          <w:sz w:val="26"/>
          <w:szCs w:val="26"/>
          <w:lang w:val="es-MX"/>
        </w:rPr>
        <w:t>como horas específicas, fechas, lugares y descripción de los eventos. También</w:t>
      </w:r>
      <w:r w:rsidR="00EE7190">
        <w:rPr>
          <w:sz w:val="26"/>
          <w:szCs w:val="26"/>
          <w:lang w:val="es-MX"/>
        </w:rPr>
        <w:t xml:space="preserve"> </w:t>
      </w:r>
      <w:r w:rsidR="0066041B" w:rsidRPr="00EE7190">
        <w:rPr>
          <w:sz w:val="26"/>
          <w:szCs w:val="26"/>
          <w:lang w:val="es-MX"/>
        </w:rPr>
        <w:t>puede pedir a familiares y amigos o a un abogado que contacte a oficiales penitenciarios</w:t>
      </w:r>
      <w:r w:rsidR="00EE7190">
        <w:rPr>
          <w:sz w:val="26"/>
          <w:szCs w:val="26"/>
          <w:lang w:val="es-MX"/>
        </w:rPr>
        <w:t xml:space="preserve"> </w:t>
      </w:r>
      <w:r w:rsidR="0066041B" w:rsidRPr="00EE7190">
        <w:rPr>
          <w:sz w:val="26"/>
          <w:szCs w:val="26"/>
          <w:lang w:val="es-MX"/>
        </w:rPr>
        <w:t>para ponerlos de conocimiento de esta situación. Los oficiales penitenciarios pueden también tomar medidas</w:t>
      </w:r>
      <w:r w:rsidR="00EE7190">
        <w:rPr>
          <w:sz w:val="26"/>
          <w:szCs w:val="26"/>
          <w:lang w:val="es-MX"/>
        </w:rPr>
        <w:t xml:space="preserve"> </w:t>
      </w:r>
      <w:r w:rsidR="0066041B" w:rsidRPr="00EE7190">
        <w:rPr>
          <w:sz w:val="26"/>
          <w:szCs w:val="26"/>
          <w:lang w:val="es-MX"/>
        </w:rPr>
        <w:t>si reciben acusaciones específica o</w:t>
      </w:r>
      <w:r w:rsidR="00EE7190">
        <w:rPr>
          <w:sz w:val="26"/>
          <w:szCs w:val="26"/>
          <w:lang w:val="es-MX"/>
        </w:rPr>
        <w:t xml:space="preserve"> </w:t>
      </w:r>
      <w:r w:rsidR="0066041B" w:rsidRPr="00EE7190">
        <w:rPr>
          <w:sz w:val="26"/>
          <w:szCs w:val="26"/>
          <w:lang w:val="es-MX"/>
        </w:rPr>
        <w:t>información detallada del por qué usted está en peligro.</w:t>
      </w:r>
    </w:p>
    <w:p w:rsidR="009F563A" w:rsidRPr="00EE7190" w:rsidRDefault="009F563A" w:rsidP="001C11C0">
      <w:pPr>
        <w:jc w:val="both"/>
        <w:rPr>
          <w:sz w:val="26"/>
          <w:szCs w:val="26"/>
          <w:lang w:val="es-MX"/>
        </w:rPr>
      </w:pPr>
    </w:p>
    <w:p w:rsidR="00B553A9" w:rsidRPr="00EE7190" w:rsidRDefault="0066041B" w:rsidP="001C11C0">
      <w:pPr>
        <w:ind w:firstLine="720"/>
        <w:jc w:val="both"/>
        <w:rPr>
          <w:sz w:val="26"/>
          <w:szCs w:val="26"/>
          <w:lang w:val="es-MX"/>
        </w:rPr>
      </w:pPr>
      <w:r w:rsidRPr="00EE7190">
        <w:rPr>
          <w:sz w:val="26"/>
          <w:szCs w:val="26"/>
          <w:lang w:val="es-MX"/>
        </w:rPr>
        <w:t>Además, el personal penitenciario debe intervenir cuando una persona encarcelada parece ser blanco de un acoso sexual</w:t>
      </w:r>
      <w:r w:rsidR="00B553A9" w:rsidRPr="00EE7190">
        <w:rPr>
          <w:sz w:val="26"/>
          <w:szCs w:val="26"/>
          <w:lang w:val="es-MX"/>
        </w:rPr>
        <w:t>.</w:t>
      </w:r>
      <w:r w:rsidR="00B553A9" w:rsidRPr="00EE7190">
        <w:rPr>
          <w:rStyle w:val="FootnoteReference"/>
          <w:sz w:val="26"/>
          <w:szCs w:val="26"/>
          <w:lang w:val="es-MX"/>
        </w:rPr>
        <w:footnoteReference w:id="24"/>
      </w:r>
      <w:r w:rsidR="00EE7190">
        <w:rPr>
          <w:sz w:val="26"/>
          <w:szCs w:val="26"/>
          <w:lang w:val="es-MX"/>
        </w:rPr>
        <w:t xml:space="preserve"> </w:t>
      </w:r>
      <w:r w:rsidRPr="00EE7190">
        <w:rPr>
          <w:sz w:val="26"/>
          <w:szCs w:val="26"/>
          <w:lang w:val="es-MX"/>
        </w:rPr>
        <w:t>Cualquier personal penitenciario que sepa de un</w:t>
      </w:r>
      <w:r w:rsidR="00EE7190">
        <w:rPr>
          <w:sz w:val="26"/>
          <w:szCs w:val="26"/>
          <w:lang w:val="es-MX"/>
        </w:rPr>
        <w:t xml:space="preserve"> </w:t>
      </w:r>
      <w:r w:rsidRPr="00EE7190">
        <w:rPr>
          <w:sz w:val="26"/>
          <w:szCs w:val="26"/>
          <w:lang w:val="es-MX"/>
        </w:rPr>
        <w:t>abuso sexual debe reportarlo inmediatamente y en la mayor medida posible hacerlo de manera confidencial</w:t>
      </w:r>
      <w:r w:rsidR="00B553A9" w:rsidRPr="00EE7190">
        <w:rPr>
          <w:sz w:val="26"/>
          <w:szCs w:val="26"/>
          <w:lang w:val="es-MX"/>
        </w:rPr>
        <w:t>.</w:t>
      </w:r>
      <w:r w:rsidR="00B553A9" w:rsidRPr="00EE7190">
        <w:rPr>
          <w:rStyle w:val="FootnoteReference"/>
          <w:sz w:val="26"/>
          <w:szCs w:val="26"/>
          <w:lang w:val="es-MX"/>
        </w:rPr>
        <w:footnoteReference w:id="25"/>
      </w:r>
      <w:r w:rsidR="00B553A9" w:rsidRPr="00EE7190">
        <w:rPr>
          <w:sz w:val="26"/>
          <w:szCs w:val="26"/>
          <w:lang w:val="es-MX"/>
        </w:rPr>
        <w:t xml:space="preserve"> </w:t>
      </w:r>
      <w:r w:rsidRPr="00EE7190">
        <w:rPr>
          <w:sz w:val="26"/>
          <w:szCs w:val="26"/>
          <w:lang w:val="es-MX"/>
        </w:rPr>
        <w:t>El personal penitenciario debe asistir a la víctima al referirla a una evaluación</w:t>
      </w:r>
      <w:r w:rsidR="00EE7190">
        <w:rPr>
          <w:sz w:val="26"/>
          <w:szCs w:val="26"/>
          <w:lang w:val="es-MX"/>
        </w:rPr>
        <w:t xml:space="preserve"> </w:t>
      </w:r>
      <w:r w:rsidRPr="00EE7190">
        <w:rPr>
          <w:sz w:val="26"/>
          <w:szCs w:val="26"/>
          <w:lang w:val="es-MX"/>
        </w:rPr>
        <w:t>de</w:t>
      </w:r>
      <w:r w:rsidR="00EE7190">
        <w:rPr>
          <w:sz w:val="26"/>
          <w:szCs w:val="26"/>
          <w:lang w:val="es-MX"/>
        </w:rPr>
        <w:t xml:space="preserve"> </w:t>
      </w:r>
      <w:r w:rsidRPr="00EE7190">
        <w:rPr>
          <w:sz w:val="26"/>
          <w:szCs w:val="26"/>
          <w:lang w:val="es-MX"/>
        </w:rPr>
        <w:t>salud médica/mental.</w:t>
      </w:r>
      <w:r w:rsidR="00B553A9" w:rsidRPr="00EE7190">
        <w:rPr>
          <w:rStyle w:val="FootnoteReference"/>
          <w:sz w:val="26"/>
          <w:szCs w:val="26"/>
          <w:lang w:val="es-MX"/>
        </w:rPr>
        <w:footnoteReference w:id="26"/>
      </w:r>
      <w:r w:rsidR="00B553A9" w:rsidRPr="00EE7190">
        <w:rPr>
          <w:sz w:val="26"/>
          <w:szCs w:val="26"/>
          <w:lang w:val="es-MX"/>
        </w:rPr>
        <w:t xml:space="preserve"> </w:t>
      </w:r>
      <w:r w:rsidR="00C80F8E" w:rsidRPr="00EE7190">
        <w:rPr>
          <w:sz w:val="26"/>
          <w:szCs w:val="26"/>
          <w:lang w:val="es-MX"/>
        </w:rPr>
        <w:t xml:space="preserve">El personal penitenciario debe </w:t>
      </w:r>
      <w:proofErr w:type="spellStart"/>
      <w:r w:rsidR="00C80F8E" w:rsidRPr="00EE7190">
        <w:rPr>
          <w:sz w:val="26"/>
          <w:szCs w:val="26"/>
          <w:lang w:val="es-MX"/>
        </w:rPr>
        <w:t>matenerse</w:t>
      </w:r>
      <w:proofErr w:type="spellEnd"/>
      <w:r w:rsidR="00C80F8E" w:rsidRPr="00EE7190">
        <w:rPr>
          <w:sz w:val="26"/>
          <w:szCs w:val="26"/>
          <w:lang w:val="es-MX"/>
        </w:rPr>
        <w:t xml:space="preserve"> con la víctima, y si es apropiado,</w:t>
      </w:r>
      <w:r w:rsidR="00EE7190">
        <w:rPr>
          <w:sz w:val="26"/>
          <w:szCs w:val="26"/>
          <w:lang w:val="es-MX"/>
        </w:rPr>
        <w:t xml:space="preserve"> </w:t>
      </w:r>
      <w:r w:rsidR="00C80F8E" w:rsidRPr="00EE7190">
        <w:rPr>
          <w:sz w:val="26"/>
          <w:szCs w:val="26"/>
          <w:lang w:val="es-MX"/>
        </w:rPr>
        <w:t xml:space="preserve">separar a la víctima para su protección e iniciar el Sistema de </w:t>
      </w:r>
      <w:r w:rsidR="00C80F8E" w:rsidRPr="00EE7190">
        <w:rPr>
          <w:sz w:val="26"/>
          <w:szCs w:val="26"/>
          <w:lang w:val="es-MX"/>
        </w:rPr>
        <w:lastRenderedPageBreak/>
        <w:t>Reporte de Incidentes (ICS por sus siglas en inglés)</w:t>
      </w:r>
      <w:r w:rsidR="00B553A9" w:rsidRPr="00EE7190">
        <w:rPr>
          <w:sz w:val="26"/>
          <w:szCs w:val="26"/>
          <w:lang w:val="es-MX"/>
        </w:rPr>
        <w:t>.</w:t>
      </w:r>
      <w:r w:rsidR="00B553A9" w:rsidRPr="00EE7190">
        <w:rPr>
          <w:rStyle w:val="FootnoteReference"/>
          <w:sz w:val="26"/>
          <w:szCs w:val="26"/>
          <w:lang w:val="es-MX"/>
        </w:rPr>
        <w:footnoteReference w:id="27"/>
      </w:r>
      <w:r w:rsidR="00B553A9" w:rsidRPr="00EE7190">
        <w:rPr>
          <w:sz w:val="26"/>
          <w:szCs w:val="26"/>
          <w:lang w:val="es-MX"/>
        </w:rPr>
        <w:t xml:space="preserve"> </w:t>
      </w:r>
      <w:r w:rsidR="00C80F8E" w:rsidRPr="00EE7190">
        <w:rPr>
          <w:sz w:val="26"/>
          <w:szCs w:val="26"/>
          <w:lang w:val="es-MX"/>
        </w:rPr>
        <w:t xml:space="preserve">El personal penitenciario debe también identificar y asegurar la escena del </w:t>
      </w:r>
      <w:proofErr w:type="spellStart"/>
      <w:r w:rsidR="00C80F8E" w:rsidRPr="00EE7190">
        <w:rPr>
          <w:sz w:val="26"/>
          <w:szCs w:val="26"/>
          <w:lang w:val="es-MX"/>
        </w:rPr>
        <w:t>crímen</w:t>
      </w:r>
      <w:proofErr w:type="spellEnd"/>
      <w:r w:rsidR="00C80F8E" w:rsidRPr="00EE7190">
        <w:rPr>
          <w:sz w:val="26"/>
          <w:szCs w:val="26"/>
          <w:lang w:val="es-MX"/>
        </w:rPr>
        <w:t xml:space="preserve"> hasta que llegue un investigador de la Unidad de Investigaciones Penale</w:t>
      </w:r>
      <w:r w:rsidR="00B13981" w:rsidRPr="00EE7190">
        <w:rPr>
          <w:sz w:val="26"/>
          <w:szCs w:val="26"/>
          <w:lang w:val="es-MX"/>
        </w:rPr>
        <w:t>s</w:t>
      </w:r>
      <w:r w:rsidR="00B553A9" w:rsidRPr="00EE7190">
        <w:rPr>
          <w:sz w:val="26"/>
          <w:szCs w:val="26"/>
          <w:lang w:val="es-MX"/>
        </w:rPr>
        <w:t>.</w:t>
      </w:r>
      <w:r w:rsidR="00B553A9" w:rsidRPr="00EE7190">
        <w:rPr>
          <w:rStyle w:val="FootnoteReference"/>
          <w:sz w:val="26"/>
          <w:szCs w:val="26"/>
          <w:lang w:val="es-MX"/>
        </w:rPr>
        <w:footnoteReference w:id="28"/>
      </w:r>
      <w:r w:rsidR="00B553A9" w:rsidRPr="00EE7190">
        <w:rPr>
          <w:sz w:val="26"/>
          <w:szCs w:val="26"/>
          <w:lang w:val="es-MX"/>
        </w:rPr>
        <w:t xml:space="preserve"> </w:t>
      </w:r>
      <w:r w:rsidR="00B13981" w:rsidRPr="00EE7190">
        <w:rPr>
          <w:sz w:val="26"/>
          <w:szCs w:val="26"/>
          <w:lang w:val="es-MX"/>
        </w:rPr>
        <w:t>Los oficiales penitenciarios deben investigar cualquier reporte de un preso que</w:t>
      </w:r>
      <w:r w:rsidR="00EE7190">
        <w:rPr>
          <w:sz w:val="26"/>
          <w:szCs w:val="26"/>
          <w:lang w:val="es-MX"/>
        </w:rPr>
        <w:t xml:space="preserve"> </w:t>
      </w:r>
      <w:r w:rsidR="00B13981" w:rsidRPr="00EE7190">
        <w:rPr>
          <w:sz w:val="26"/>
          <w:szCs w:val="26"/>
          <w:lang w:val="es-MX"/>
        </w:rPr>
        <w:t>ha sido sexualmente abusado y documentar los hallazgos por escrito</w:t>
      </w:r>
      <w:r w:rsidR="00B553A9" w:rsidRPr="00EE7190">
        <w:rPr>
          <w:sz w:val="26"/>
          <w:szCs w:val="26"/>
          <w:lang w:val="es-MX"/>
        </w:rPr>
        <w:t>.</w:t>
      </w:r>
      <w:r w:rsidR="00B553A9" w:rsidRPr="00EE7190">
        <w:rPr>
          <w:rStyle w:val="FootnoteReference"/>
          <w:sz w:val="26"/>
          <w:szCs w:val="26"/>
          <w:lang w:val="es-MX"/>
        </w:rPr>
        <w:footnoteReference w:id="29"/>
      </w:r>
      <w:r w:rsidR="00EE7190">
        <w:rPr>
          <w:sz w:val="26"/>
          <w:szCs w:val="26"/>
          <w:vertAlign w:val="superscript"/>
          <w:lang w:val="es-MX"/>
        </w:rPr>
        <w:t xml:space="preserve"> </w:t>
      </w:r>
      <w:r w:rsidR="00B13981" w:rsidRPr="00EE7190">
        <w:rPr>
          <w:sz w:val="26"/>
          <w:szCs w:val="26"/>
          <w:lang w:val="es-MX"/>
        </w:rPr>
        <w:t>Las investigaciones pueden ser administrativas y / o penales.</w:t>
      </w:r>
      <w:r w:rsidR="00B553A9" w:rsidRPr="00EE7190">
        <w:rPr>
          <w:rStyle w:val="FootnoteReference"/>
          <w:sz w:val="26"/>
          <w:szCs w:val="26"/>
          <w:lang w:val="es-MX"/>
        </w:rPr>
        <w:footnoteReference w:id="30"/>
      </w:r>
    </w:p>
    <w:p w:rsidR="00424E9E" w:rsidRPr="00EE7190" w:rsidRDefault="00424E9E" w:rsidP="001C11C0">
      <w:pPr>
        <w:ind w:firstLine="720"/>
        <w:jc w:val="both"/>
        <w:rPr>
          <w:sz w:val="26"/>
          <w:szCs w:val="26"/>
          <w:lang w:val="es-MX"/>
        </w:rPr>
      </w:pPr>
    </w:p>
    <w:p w:rsidR="00424E9E" w:rsidRPr="00EE7190" w:rsidRDefault="00B13981" w:rsidP="001C11C0">
      <w:pPr>
        <w:ind w:firstLine="720"/>
        <w:jc w:val="both"/>
        <w:rPr>
          <w:sz w:val="26"/>
          <w:szCs w:val="26"/>
          <w:lang w:val="es-MX"/>
        </w:rPr>
      </w:pPr>
      <w:r w:rsidRPr="00EE7190">
        <w:rPr>
          <w:sz w:val="26"/>
          <w:szCs w:val="26"/>
          <w:lang w:val="es-MX"/>
        </w:rPr>
        <w:t>Las personas encarceladas pueden reportar mala conducta sexual o acoso sexual al utilizar la línea directa de PREA en los teléfonos:</w:t>
      </w:r>
    </w:p>
    <w:p w:rsidR="00424E9E" w:rsidRPr="00EE7190" w:rsidRDefault="00B13981" w:rsidP="001C11C0">
      <w:pPr>
        <w:pStyle w:val="ListParagraph"/>
        <w:numPr>
          <w:ilvl w:val="0"/>
          <w:numId w:val="16"/>
        </w:numPr>
        <w:jc w:val="both"/>
        <w:rPr>
          <w:sz w:val="26"/>
          <w:szCs w:val="26"/>
          <w:lang w:val="es-MX"/>
        </w:rPr>
      </w:pPr>
      <w:r w:rsidRPr="00EE7190">
        <w:rPr>
          <w:sz w:val="26"/>
          <w:szCs w:val="26"/>
          <w:lang w:val="es-MX"/>
        </w:rPr>
        <w:t xml:space="preserve">Levante el auricular y toque la opción número 9, seguido de la opción número 1 </w:t>
      </w:r>
    </w:p>
    <w:p w:rsidR="00424E9E" w:rsidRPr="00EE7190" w:rsidRDefault="00B13981" w:rsidP="001C11C0">
      <w:pPr>
        <w:pStyle w:val="ListParagraph"/>
        <w:numPr>
          <w:ilvl w:val="0"/>
          <w:numId w:val="16"/>
        </w:numPr>
        <w:jc w:val="both"/>
        <w:rPr>
          <w:sz w:val="26"/>
          <w:szCs w:val="26"/>
          <w:lang w:val="es-MX"/>
        </w:rPr>
      </w:pPr>
      <w:r w:rsidRPr="00EE7190">
        <w:rPr>
          <w:sz w:val="26"/>
          <w:szCs w:val="26"/>
          <w:lang w:val="es-MX"/>
        </w:rPr>
        <w:t>Marque</w:t>
      </w:r>
      <w:r w:rsidR="00EE7190">
        <w:rPr>
          <w:sz w:val="26"/>
          <w:szCs w:val="26"/>
          <w:lang w:val="es-MX"/>
        </w:rPr>
        <w:t xml:space="preserve"> </w:t>
      </w:r>
      <w:r w:rsidRPr="00EE7190">
        <w:rPr>
          <w:sz w:val="26"/>
          <w:szCs w:val="26"/>
          <w:lang w:val="es-MX"/>
        </w:rPr>
        <w:t>o digite</w:t>
      </w:r>
      <w:r w:rsidR="00EE7190">
        <w:rPr>
          <w:sz w:val="26"/>
          <w:szCs w:val="26"/>
          <w:lang w:val="es-MX"/>
        </w:rPr>
        <w:t xml:space="preserve"> </w:t>
      </w:r>
      <w:r w:rsidR="00424E9E" w:rsidRPr="00EE7190">
        <w:rPr>
          <w:sz w:val="26"/>
          <w:szCs w:val="26"/>
          <w:lang w:val="es-MX"/>
        </w:rPr>
        <w:t xml:space="preserve">7732 (PREA). </w:t>
      </w:r>
      <w:r w:rsidRPr="00EE7190">
        <w:rPr>
          <w:sz w:val="26"/>
          <w:szCs w:val="26"/>
          <w:lang w:val="es-MX"/>
        </w:rPr>
        <w:t>No se solicita el</w:t>
      </w:r>
      <w:r w:rsidR="00EE7190">
        <w:rPr>
          <w:sz w:val="26"/>
          <w:szCs w:val="26"/>
          <w:lang w:val="es-MX"/>
        </w:rPr>
        <w:t xml:space="preserve"> </w:t>
      </w:r>
      <w:r w:rsidRPr="00EE7190">
        <w:rPr>
          <w:sz w:val="26"/>
          <w:szCs w:val="26"/>
          <w:lang w:val="es-MX"/>
        </w:rPr>
        <w:t>número de PIN</w:t>
      </w:r>
      <w:r w:rsidR="00EE7190">
        <w:rPr>
          <w:sz w:val="26"/>
          <w:szCs w:val="26"/>
          <w:lang w:val="es-MX"/>
        </w:rPr>
        <w:t xml:space="preserve"> </w:t>
      </w:r>
      <w:r w:rsidRPr="00EE7190">
        <w:rPr>
          <w:sz w:val="26"/>
          <w:szCs w:val="26"/>
          <w:lang w:val="es-MX"/>
        </w:rPr>
        <w:t>o</w:t>
      </w:r>
      <w:r w:rsidR="00EE7190">
        <w:rPr>
          <w:sz w:val="26"/>
          <w:szCs w:val="26"/>
          <w:lang w:val="es-MX"/>
        </w:rPr>
        <w:t xml:space="preserve"> </w:t>
      </w:r>
      <w:r w:rsidRPr="00EE7190">
        <w:rPr>
          <w:sz w:val="26"/>
          <w:szCs w:val="26"/>
          <w:lang w:val="es-MX"/>
        </w:rPr>
        <w:t>impresión de voz de los internos.</w:t>
      </w:r>
    </w:p>
    <w:p w:rsidR="00424E9E" w:rsidRPr="00EE7190" w:rsidRDefault="00B13981" w:rsidP="001C11C0">
      <w:pPr>
        <w:pStyle w:val="ListParagraph"/>
        <w:numPr>
          <w:ilvl w:val="0"/>
          <w:numId w:val="16"/>
        </w:numPr>
        <w:jc w:val="both"/>
        <w:rPr>
          <w:sz w:val="26"/>
          <w:szCs w:val="26"/>
          <w:lang w:val="es-MX"/>
        </w:rPr>
      </w:pPr>
      <w:r w:rsidRPr="00EE7190">
        <w:rPr>
          <w:sz w:val="26"/>
          <w:szCs w:val="26"/>
          <w:lang w:val="es-MX"/>
        </w:rPr>
        <w:t xml:space="preserve">Deje un </w:t>
      </w:r>
      <w:proofErr w:type="spellStart"/>
      <w:r w:rsidRPr="00EE7190">
        <w:rPr>
          <w:sz w:val="26"/>
          <w:szCs w:val="26"/>
          <w:lang w:val="es-MX"/>
        </w:rPr>
        <w:t>mesaje</w:t>
      </w:r>
      <w:proofErr w:type="spellEnd"/>
      <w:r w:rsidRPr="00EE7190">
        <w:rPr>
          <w:sz w:val="26"/>
          <w:szCs w:val="26"/>
          <w:lang w:val="es-MX"/>
        </w:rPr>
        <w:t xml:space="preserve"> detallado de las hechos ocurridos.</w:t>
      </w:r>
    </w:p>
    <w:p w:rsidR="00424E9E" w:rsidRPr="00EE7190" w:rsidRDefault="00B13981" w:rsidP="001C11C0">
      <w:pPr>
        <w:pStyle w:val="ListParagraph"/>
        <w:numPr>
          <w:ilvl w:val="0"/>
          <w:numId w:val="16"/>
        </w:numPr>
        <w:jc w:val="both"/>
        <w:rPr>
          <w:sz w:val="26"/>
          <w:szCs w:val="26"/>
          <w:lang w:val="es-MX"/>
        </w:rPr>
      </w:pPr>
      <w:r w:rsidRPr="00EE7190">
        <w:rPr>
          <w:sz w:val="26"/>
          <w:szCs w:val="26"/>
          <w:lang w:val="es-MX"/>
        </w:rPr>
        <w:t xml:space="preserve">La información será confidencial y usted se mantendrá anónimo. </w:t>
      </w:r>
    </w:p>
    <w:p w:rsidR="00B553A9" w:rsidRPr="00EE7190" w:rsidRDefault="00B553A9" w:rsidP="001C11C0">
      <w:pPr>
        <w:pStyle w:val="BIABC"/>
        <w:ind w:left="720" w:firstLine="0"/>
        <w:outlineLvl w:val="1"/>
        <w:rPr>
          <w:rFonts w:cs="Times New Roman"/>
          <w:sz w:val="26"/>
          <w:szCs w:val="26"/>
          <w:lang w:val="es-MX"/>
        </w:rPr>
      </w:pPr>
      <w:bookmarkStart w:id="12" w:name="_Toc11662666"/>
      <w:r w:rsidRPr="00EE7190">
        <w:rPr>
          <w:rFonts w:cs="Times New Roman"/>
          <w:sz w:val="26"/>
          <w:szCs w:val="26"/>
          <w:lang w:val="es-MX"/>
        </w:rPr>
        <w:t>B.</w:t>
      </w:r>
      <w:r w:rsidRPr="00EE7190">
        <w:rPr>
          <w:rFonts w:cs="Times New Roman"/>
          <w:sz w:val="26"/>
          <w:szCs w:val="26"/>
          <w:lang w:val="es-MX"/>
        </w:rPr>
        <w:tab/>
      </w:r>
      <w:r w:rsidRPr="00EE7190">
        <w:rPr>
          <w:rFonts w:cs="Times New Roman"/>
          <w:sz w:val="26"/>
          <w:szCs w:val="26"/>
          <w:lang w:val="es-MX"/>
        </w:rPr>
        <w:tab/>
      </w:r>
      <w:r w:rsidR="00DB3110" w:rsidRPr="00EE7190">
        <w:rPr>
          <w:rFonts w:cs="Times New Roman"/>
          <w:sz w:val="26"/>
          <w:szCs w:val="26"/>
          <w:lang w:val="es-MX"/>
        </w:rPr>
        <w:t>Buscar Atención Médica y de Salud Mental</w:t>
      </w:r>
      <w:bookmarkEnd w:id="12"/>
    </w:p>
    <w:p w:rsidR="00B553A9" w:rsidRPr="00EE7190" w:rsidRDefault="00A91F21" w:rsidP="001C11C0">
      <w:pPr>
        <w:ind w:firstLine="720"/>
        <w:jc w:val="both"/>
        <w:rPr>
          <w:sz w:val="26"/>
          <w:szCs w:val="26"/>
          <w:lang w:val="es-MX"/>
        </w:rPr>
      </w:pPr>
      <w:r w:rsidRPr="00EE7190">
        <w:rPr>
          <w:sz w:val="26"/>
          <w:szCs w:val="26"/>
          <w:lang w:val="es-MX"/>
        </w:rPr>
        <w:t>Si usted ha sido agredido</w:t>
      </w:r>
      <w:r w:rsidR="00DB3110" w:rsidRPr="00EE7190">
        <w:rPr>
          <w:sz w:val="26"/>
          <w:szCs w:val="26"/>
          <w:lang w:val="es-MX"/>
        </w:rPr>
        <w:t xml:space="preserve"> sexualmente, busque atención médica </w:t>
      </w:r>
      <w:bookmarkStart w:id="13" w:name="_GoBack"/>
      <w:bookmarkEnd w:id="13"/>
      <w:r w:rsidR="00DB3110" w:rsidRPr="00EE7190">
        <w:rPr>
          <w:sz w:val="26"/>
          <w:szCs w:val="26"/>
          <w:lang w:val="es-MX"/>
        </w:rPr>
        <w:t>inmediata por razones de salud, y para recabar la evidencia para</w:t>
      </w:r>
      <w:r w:rsidRPr="00EE7190">
        <w:rPr>
          <w:sz w:val="26"/>
          <w:szCs w:val="26"/>
          <w:lang w:val="es-MX"/>
        </w:rPr>
        <w:t xml:space="preserve"> probar que una agresión</w:t>
      </w:r>
      <w:r w:rsidR="00EE7190">
        <w:rPr>
          <w:sz w:val="26"/>
          <w:szCs w:val="26"/>
          <w:lang w:val="es-MX"/>
        </w:rPr>
        <w:t xml:space="preserve"> </w:t>
      </w:r>
      <w:r w:rsidR="00DB3110" w:rsidRPr="00EE7190">
        <w:rPr>
          <w:sz w:val="26"/>
          <w:szCs w:val="26"/>
          <w:lang w:val="es-MX"/>
        </w:rPr>
        <w:t xml:space="preserve">ha sucedido. No debe bañarse hasta después que la examinación medica </w:t>
      </w:r>
      <w:proofErr w:type="spellStart"/>
      <w:r w:rsidR="00DB3110" w:rsidRPr="00EE7190">
        <w:rPr>
          <w:sz w:val="26"/>
          <w:szCs w:val="26"/>
          <w:lang w:val="es-MX"/>
        </w:rPr>
        <w:t>halla</w:t>
      </w:r>
      <w:proofErr w:type="spellEnd"/>
      <w:r w:rsidR="00DB3110" w:rsidRPr="00EE7190">
        <w:rPr>
          <w:sz w:val="26"/>
          <w:szCs w:val="26"/>
          <w:lang w:val="es-MX"/>
        </w:rPr>
        <w:t xml:space="preserve"> sido </w:t>
      </w:r>
      <w:proofErr w:type="spellStart"/>
      <w:r w:rsidR="00DB3110" w:rsidRPr="00EE7190">
        <w:rPr>
          <w:sz w:val="26"/>
          <w:szCs w:val="26"/>
          <w:lang w:val="es-MX"/>
        </w:rPr>
        <w:t>concluída</w:t>
      </w:r>
      <w:proofErr w:type="spellEnd"/>
      <w:r w:rsidR="00DB3110" w:rsidRPr="00EE7190">
        <w:rPr>
          <w:sz w:val="26"/>
          <w:szCs w:val="26"/>
          <w:lang w:val="es-MX"/>
        </w:rPr>
        <w:t xml:space="preserve"> porque el baño puede limpiar la evidencia</w:t>
      </w:r>
      <w:r w:rsidR="00B553A9" w:rsidRPr="00EE7190">
        <w:rPr>
          <w:sz w:val="26"/>
          <w:szCs w:val="26"/>
          <w:lang w:val="es-MX"/>
        </w:rPr>
        <w:t>.</w:t>
      </w:r>
      <w:r w:rsidR="00B553A9" w:rsidRPr="00EE7190">
        <w:rPr>
          <w:rStyle w:val="FootnoteReference"/>
          <w:sz w:val="26"/>
          <w:szCs w:val="26"/>
          <w:lang w:val="es-MX"/>
        </w:rPr>
        <w:footnoteReference w:id="31"/>
      </w:r>
      <w:r w:rsidR="00EE7190">
        <w:rPr>
          <w:sz w:val="26"/>
          <w:szCs w:val="26"/>
          <w:lang w:val="es-MX"/>
        </w:rPr>
        <w:t xml:space="preserve"> </w:t>
      </w:r>
      <w:r w:rsidR="00DB3110" w:rsidRPr="00EE7190">
        <w:rPr>
          <w:sz w:val="26"/>
          <w:szCs w:val="26"/>
          <w:lang w:val="es-MX"/>
        </w:rPr>
        <w:t xml:space="preserve">Si es </w:t>
      </w:r>
      <w:proofErr w:type="spellStart"/>
      <w:r w:rsidR="00DB3110" w:rsidRPr="00EE7190">
        <w:rPr>
          <w:sz w:val="26"/>
          <w:szCs w:val="26"/>
          <w:lang w:val="es-MX"/>
        </w:rPr>
        <w:t>possible</w:t>
      </w:r>
      <w:proofErr w:type="spellEnd"/>
      <w:r w:rsidR="00DB3110" w:rsidRPr="00EE7190">
        <w:rPr>
          <w:sz w:val="26"/>
          <w:szCs w:val="26"/>
          <w:lang w:val="es-MX"/>
        </w:rPr>
        <w:t>, trate de no ir al baño o tomar líquidos hasta después que la examinación haya sido realizada</w:t>
      </w:r>
      <w:r w:rsidR="00B553A9" w:rsidRPr="00EE7190">
        <w:rPr>
          <w:sz w:val="26"/>
          <w:szCs w:val="26"/>
          <w:lang w:val="es-MX"/>
        </w:rPr>
        <w:t>.</w:t>
      </w:r>
      <w:r w:rsidR="00B553A9" w:rsidRPr="00EE7190">
        <w:rPr>
          <w:rStyle w:val="FootnoteReference"/>
          <w:sz w:val="26"/>
          <w:szCs w:val="26"/>
          <w:lang w:val="es-MX"/>
        </w:rPr>
        <w:footnoteReference w:id="32"/>
      </w:r>
      <w:r w:rsidR="00EE7190">
        <w:rPr>
          <w:sz w:val="26"/>
          <w:szCs w:val="26"/>
          <w:lang w:val="es-MX"/>
        </w:rPr>
        <w:t xml:space="preserve"> </w:t>
      </w:r>
      <w:r w:rsidR="00DB3110" w:rsidRPr="00EE7190">
        <w:rPr>
          <w:sz w:val="26"/>
          <w:szCs w:val="26"/>
          <w:lang w:val="es-MX"/>
        </w:rPr>
        <w:t>También debe guardar y dar a los investigadores cualquier ropa u objeto que pueda haber estado en contacto con fluidos corporales, piel o pelo de la persona que cometió</w:t>
      </w:r>
      <w:r w:rsidRPr="00EE7190">
        <w:rPr>
          <w:sz w:val="26"/>
          <w:szCs w:val="26"/>
          <w:lang w:val="es-MX"/>
        </w:rPr>
        <w:t xml:space="preserve"> la agresión</w:t>
      </w:r>
      <w:r w:rsidR="00B553A9" w:rsidRPr="00EE7190">
        <w:rPr>
          <w:sz w:val="26"/>
          <w:szCs w:val="26"/>
          <w:lang w:val="es-MX"/>
        </w:rPr>
        <w:t>.</w:t>
      </w:r>
      <w:r w:rsidR="00B553A9" w:rsidRPr="00EE7190">
        <w:rPr>
          <w:rStyle w:val="FootnoteReference"/>
          <w:sz w:val="26"/>
          <w:szCs w:val="26"/>
          <w:lang w:val="es-MX"/>
        </w:rPr>
        <w:footnoteReference w:id="33"/>
      </w:r>
      <w:r w:rsidR="00EE7190">
        <w:rPr>
          <w:sz w:val="26"/>
          <w:szCs w:val="26"/>
          <w:lang w:val="es-MX"/>
        </w:rPr>
        <w:t xml:space="preserve"> </w:t>
      </w:r>
      <w:r w:rsidR="00DB3110" w:rsidRPr="00EE7190">
        <w:rPr>
          <w:sz w:val="26"/>
          <w:szCs w:val="26"/>
          <w:lang w:val="es-MX"/>
        </w:rPr>
        <w:t xml:space="preserve">El personal </w:t>
      </w:r>
      <w:r w:rsidRPr="00EE7190">
        <w:rPr>
          <w:sz w:val="26"/>
          <w:szCs w:val="26"/>
          <w:lang w:val="es-MX"/>
        </w:rPr>
        <w:t>mé</w:t>
      </w:r>
      <w:r w:rsidR="00DB3110" w:rsidRPr="00EE7190">
        <w:rPr>
          <w:sz w:val="26"/>
          <w:szCs w:val="26"/>
          <w:lang w:val="es-MX"/>
        </w:rPr>
        <w:t>dico penitenciario debe dar cualquier atención de emergencia médica</w:t>
      </w:r>
      <w:r w:rsidR="00EE7190">
        <w:rPr>
          <w:sz w:val="26"/>
          <w:szCs w:val="26"/>
          <w:lang w:val="es-MX"/>
        </w:rPr>
        <w:t xml:space="preserve"> </w:t>
      </w:r>
      <w:r w:rsidR="00DB3110" w:rsidRPr="00EE7190">
        <w:rPr>
          <w:sz w:val="26"/>
          <w:szCs w:val="26"/>
          <w:lang w:val="es-MX"/>
        </w:rPr>
        <w:t xml:space="preserve">necesaria a la persona encarcelada que ha sido sexualmente </w:t>
      </w:r>
      <w:r w:rsidRPr="00EE7190">
        <w:rPr>
          <w:sz w:val="26"/>
          <w:szCs w:val="26"/>
          <w:lang w:val="es-MX"/>
        </w:rPr>
        <w:t>agredida</w:t>
      </w:r>
      <w:r w:rsidR="00DB3110" w:rsidRPr="00EE7190">
        <w:rPr>
          <w:sz w:val="26"/>
          <w:szCs w:val="26"/>
          <w:lang w:val="es-MX"/>
        </w:rPr>
        <w:t xml:space="preserve"> sin ningún cargo.</w:t>
      </w:r>
      <w:r w:rsidR="00B553A9" w:rsidRPr="00EE7190">
        <w:rPr>
          <w:rStyle w:val="FootnoteReference"/>
          <w:sz w:val="26"/>
          <w:szCs w:val="26"/>
          <w:lang w:val="es-MX"/>
        </w:rPr>
        <w:footnoteReference w:id="34"/>
      </w:r>
      <w:r w:rsidR="00B553A9" w:rsidRPr="00EE7190">
        <w:rPr>
          <w:sz w:val="26"/>
          <w:szCs w:val="26"/>
          <w:lang w:val="es-MX"/>
        </w:rPr>
        <w:t xml:space="preserve"> </w:t>
      </w:r>
    </w:p>
    <w:p w:rsidR="009F563A" w:rsidRPr="00EE7190" w:rsidRDefault="009F563A" w:rsidP="001C11C0">
      <w:pPr>
        <w:jc w:val="both"/>
        <w:rPr>
          <w:sz w:val="26"/>
          <w:szCs w:val="26"/>
          <w:lang w:val="es-MX"/>
        </w:rPr>
      </w:pPr>
    </w:p>
    <w:p w:rsidR="00B553A9" w:rsidRPr="00EE7190" w:rsidRDefault="00A91F21" w:rsidP="001C11C0">
      <w:pPr>
        <w:ind w:firstLine="720"/>
        <w:jc w:val="both"/>
        <w:rPr>
          <w:sz w:val="26"/>
          <w:szCs w:val="26"/>
          <w:lang w:val="es-MX"/>
        </w:rPr>
      </w:pPr>
      <w:r w:rsidRPr="00EE7190">
        <w:rPr>
          <w:sz w:val="26"/>
          <w:szCs w:val="26"/>
          <w:lang w:val="es-MX"/>
        </w:rPr>
        <w:t>La violación o agresión sexuales pueden resultar en embarazo.</w:t>
      </w:r>
      <w:r w:rsidR="00EE7190">
        <w:rPr>
          <w:sz w:val="26"/>
          <w:szCs w:val="26"/>
          <w:lang w:val="es-MX"/>
        </w:rPr>
        <w:t xml:space="preserve"> </w:t>
      </w:r>
      <w:r w:rsidRPr="00EE7190">
        <w:rPr>
          <w:sz w:val="26"/>
          <w:szCs w:val="26"/>
          <w:lang w:val="es-MX"/>
        </w:rPr>
        <w:t>Una mujer encarcelada que ha sido violado o agredida sexualmente y que de alguna manera pueda llegar al embarazo, se le debe ofrecer una prueba de embarazo</w:t>
      </w:r>
      <w:r w:rsidR="00B553A9" w:rsidRPr="00EE7190">
        <w:rPr>
          <w:sz w:val="26"/>
          <w:szCs w:val="26"/>
          <w:lang w:val="es-MX"/>
        </w:rPr>
        <w:t>.</w:t>
      </w:r>
      <w:r w:rsidR="00B553A9" w:rsidRPr="00EE7190">
        <w:rPr>
          <w:rStyle w:val="FootnoteReference"/>
          <w:sz w:val="26"/>
          <w:szCs w:val="26"/>
          <w:lang w:val="es-MX"/>
        </w:rPr>
        <w:footnoteReference w:id="35"/>
      </w:r>
      <w:r w:rsidR="00B553A9" w:rsidRPr="00EE7190">
        <w:rPr>
          <w:sz w:val="26"/>
          <w:szCs w:val="26"/>
          <w:lang w:val="es-MX"/>
        </w:rPr>
        <w:t xml:space="preserve"> </w:t>
      </w:r>
      <w:r w:rsidRPr="00EE7190">
        <w:rPr>
          <w:sz w:val="26"/>
          <w:szCs w:val="26"/>
          <w:lang w:val="es-MX"/>
        </w:rPr>
        <w:t xml:space="preserve">Si no le es ofrecida la </w:t>
      </w:r>
      <w:r w:rsidRPr="00EE7190">
        <w:rPr>
          <w:sz w:val="26"/>
          <w:szCs w:val="26"/>
          <w:lang w:val="es-MX"/>
        </w:rPr>
        <w:lastRenderedPageBreak/>
        <w:t>prueba ella puede pedirla.</w:t>
      </w:r>
      <w:r w:rsidR="00EE7190">
        <w:rPr>
          <w:sz w:val="26"/>
          <w:szCs w:val="26"/>
          <w:lang w:val="es-MX"/>
        </w:rPr>
        <w:t xml:space="preserve"> </w:t>
      </w:r>
      <w:r w:rsidRPr="00EE7190">
        <w:rPr>
          <w:sz w:val="26"/>
          <w:szCs w:val="26"/>
          <w:lang w:val="es-MX"/>
        </w:rPr>
        <w:t>Si está embarazada, ella debe recibir asesoramiento médico y asesoramiento sobre si debe interrumpir el embarazo o t</w:t>
      </w:r>
      <w:r w:rsidR="00EA7A7A" w:rsidRPr="00EE7190">
        <w:rPr>
          <w:sz w:val="26"/>
          <w:szCs w:val="26"/>
          <w:lang w:val="es-MX"/>
        </w:rPr>
        <w:t>e</w:t>
      </w:r>
      <w:r w:rsidRPr="00EE7190">
        <w:rPr>
          <w:sz w:val="26"/>
          <w:szCs w:val="26"/>
          <w:lang w:val="es-MX"/>
        </w:rPr>
        <w:t xml:space="preserve">ner el bebé, y sobre la colocación o adopción del bebé después </w:t>
      </w:r>
      <w:r w:rsidR="00EA7A7A" w:rsidRPr="00EE7190">
        <w:rPr>
          <w:sz w:val="26"/>
          <w:szCs w:val="26"/>
          <w:lang w:val="es-MX"/>
        </w:rPr>
        <w:t>del nacimiento</w:t>
      </w:r>
      <w:r w:rsidR="00B553A9" w:rsidRPr="00EE7190">
        <w:rPr>
          <w:sz w:val="26"/>
          <w:szCs w:val="26"/>
          <w:lang w:val="es-MX"/>
        </w:rPr>
        <w:t>.</w:t>
      </w:r>
      <w:r w:rsidR="00B553A9" w:rsidRPr="00EE7190">
        <w:rPr>
          <w:rStyle w:val="FootnoteReference"/>
          <w:sz w:val="26"/>
          <w:szCs w:val="26"/>
          <w:lang w:val="es-MX"/>
        </w:rPr>
        <w:footnoteReference w:id="36"/>
      </w:r>
      <w:r w:rsidR="00B553A9" w:rsidRPr="00EE7190">
        <w:rPr>
          <w:sz w:val="26"/>
          <w:szCs w:val="26"/>
          <w:lang w:val="es-MX"/>
        </w:rPr>
        <w:t xml:space="preserve"> </w:t>
      </w:r>
    </w:p>
    <w:p w:rsidR="009F563A" w:rsidRPr="00EE7190" w:rsidRDefault="009F563A" w:rsidP="001C11C0">
      <w:pPr>
        <w:ind w:firstLine="720"/>
        <w:jc w:val="both"/>
        <w:rPr>
          <w:sz w:val="26"/>
          <w:szCs w:val="26"/>
          <w:lang w:val="es-MX"/>
        </w:rPr>
      </w:pPr>
    </w:p>
    <w:p w:rsidR="00B553A9" w:rsidRPr="00EE7190" w:rsidRDefault="00EA7A7A" w:rsidP="001C11C0">
      <w:pPr>
        <w:ind w:firstLine="720"/>
        <w:jc w:val="both"/>
        <w:rPr>
          <w:sz w:val="26"/>
          <w:szCs w:val="26"/>
          <w:lang w:val="es-MX"/>
        </w:rPr>
      </w:pPr>
      <w:r w:rsidRPr="00EE7190">
        <w:rPr>
          <w:sz w:val="26"/>
          <w:szCs w:val="26"/>
          <w:lang w:val="es-MX"/>
        </w:rPr>
        <w:t xml:space="preserve">Todas las personas que has sido sexualmente agredidas debe pedir que sean analizadas para VIH y otras </w:t>
      </w:r>
      <w:proofErr w:type="spellStart"/>
      <w:r w:rsidRPr="00EE7190">
        <w:rPr>
          <w:sz w:val="26"/>
          <w:szCs w:val="26"/>
          <w:lang w:val="es-MX"/>
        </w:rPr>
        <w:t>enfemedades</w:t>
      </w:r>
      <w:proofErr w:type="spellEnd"/>
      <w:r w:rsidRPr="00EE7190">
        <w:rPr>
          <w:sz w:val="26"/>
          <w:szCs w:val="26"/>
          <w:lang w:val="es-MX"/>
        </w:rPr>
        <w:t xml:space="preserve"> sexualmente transmitidas.</w:t>
      </w:r>
      <w:r w:rsidR="00B553A9" w:rsidRPr="00EE7190">
        <w:rPr>
          <w:rStyle w:val="FootnoteReference"/>
          <w:sz w:val="26"/>
          <w:szCs w:val="26"/>
          <w:lang w:val="es-MX"/>
        </w:rPr>
        <w:footnoteReference w:id="37"/>
      </w:r>
      <w:r w:rsidR="00EE7190">
        <w:rPr>
          <w:sz w:val="26"/>
          <w:szCs w:val="26"/>
          <w:lang w:val="es-MX"/>
        </w:rPr>
        <w:t xml:space="preserve"> </w:t>
      </w:r>
      <w:r w:rsidRPr="00EE7190">
        <w:rPr>
          <w:sz w:val="26"/>
          <w:szCs w:val="26"/>
          <w:lang w:val="es-MX"/>
        </w:rPr>
        <w:t xml:space="preserve">Incluso si una prueba de VIH es </w:t>
      </w:r>
      <w:proofErr w:type="spellStart"/>
      <w:r w:rsidRPr="00EE7190">
        <w:rPr>
          <w:sz w:val="26"/>
          <w:szCs w:val="26"/>
          <w:lang w:val="es-MX"/>
        </w:rPr>
        <w:t>negative</w:t>
      </w:r>
      <w:proofErr w:type="spellEnd"/>
      <w:r w:rsidRPr="00EE7190">
        <w:rPr>
          <w:sz w:val="26"/>
          <w:szCs w:val="26"/>
          <w:lang w:val="es-MX"/>
        </w:rPr>
        <w:t>, usted puede pedir que quiere que se le practiquen otros análisis sobre lo mismo ya que hayan pasado seis meses, ya que puede tomar un tiempo el que se detecte el nivel de</w:t>
      </w:r>
      <w:r w:rsidR="00EE7190">
        <w:rPr>
          <w:sz w:val="26"/>
          <w:szCs w:val="26"/>
          <w:lang w:val="es-MX"/>
        </w:rPr>
        <w:t xml:space="preserve"> </w:t>
      </w:r>
      <w:r w:rsidRPr="00EE7190">
        <w:rPr>
          <w:sz w:val="26"/>
          <w:szCs w:val="26"/>
          <w:lang w:val="es-MX"/>
        </w:rPr>
        <w:t>anticuerpos de VIH</w:t>
      </w:r>
      <w:r w:rsidR="00EE7190">
        <w:rPr>
          <w:sz w:val="26"/>
          <w:szCs w:val="26"/>
          <w:lang w:val="es-MX"/>
        </w:rPr>
        <w:t xml:space="preserve"> </w:t>
      </w:r>
      <w:r w:rsidRPr="00EE7190">
        <w:rPr>
          <w:sz w:val="26"/>
          <w:szCs w:val="26"/>
          <w:lang w:val="es-MX"/>
        </w:rPr>
        <w:t xml:space="preserve">en una prueba. Si la persona da positivo para cualquier </w:t>
      </w:r>
      <w:proofErr w:type="spellStart"/>
      <w:r w:rsidRPr="00EE7190">
        <w:rPr>
          <w:sz w:val="26"/>
          <w:szCs w:val="26"/>
          <w:lang w:val="es-MX"/>
        </w:rPr>
        <w:t>STDs</w:t>
      </w:r>
      <w:proofErr w:type="spellEnd"/>
      <w:r w:rsidRPr="00EE7190">
        <w:rPr>
          <w:sz w:val="26"/>
          <w:szCs w:val="26"/>
          <w:lang w:val="es-MX"/>
        </w:rPr>
        <w:t>, la prisión debe proveer el tratamiento médico apropiado sin ningún costo</w:t>
      </w:r>
      <w:r w:rsidR="00B553A9" w:rsidRPr="00EE7190">
        <w:rPr>
          <w:sz w:val="26"/>
          <w:szCs w:val="26"/>
          <w:lang w:val="es-MX"/>
        </w:rPr>
        <w:t>.</w:t>
      </w:r>
      <w:r w:rsidR="00B553A9" w:rsidRPr="00EE7190">
        <w:rPr>
          <w:rStyle w:val="FootnoteReference"/>
          <w:sz w:val="26"/>
          <w:szCs w:val="26"/>
          <w:lang w:val="es-MX"/>
        </w:rPr>
        <w:footnoteReference w:id="38"/>
      </w:r>
    </w:p>
    <w:p w:rsidR="009F563A" w:rsidRPr="00EE7190" w:rsidRDefault="009F563A" w:rsidP="001C11C0">
      <w:pPr>
        <w:ind w:firstLine="720"/>
        <w:jc w:val="both"/>
        <w:rPr>
          <w:sz w:val="26"/>
          <w:szCs w:val="26"/>
          <w:lang w:val="es-MX"/>
        </w:rPr>
      </w:pPr>
    </w:p>
    <w:p w:rsidR="00B553A9" w:rsidRPr="00EE7190" w:rsidRDefault="00EA7A7A" w:rsidP="001C11C0">
      <w:pPr>
        <w:ind w:firstLine="720"/>
        <w:jc w:val="both"/>
        <w:rPr>
          <w:sz w:val="26"/>
          <w:szCs w:val="26"/>
          <w:lang w:val="es-MX"/>
        </w:rPr>
      </w:pPr>
      <w:r w:rsidRPr="00EE7190">
        <w:rPr>
          <w:sz w:val="26"/>
          <w:szCs w:val="26"/>
          <w:lang w:val="es-MX"/>
        </w:rPr>
        <w:t>El abuso sexual puede causar serios traumas emocionales.</w:t>
      </w:r>
      <w:r w:rsidR="00EE7190">
        <w:rPr>
          <w:sz w:val="26"/>
          <w:szCs w:val="26"/>
          <w:lang w:val="es-MX"/>
        </w:rPr>
        <w:t xml:space="preserve"> </w:t>
      </w:r>
      <w:r w:rsidRPr="00EE7190">
        <w:rPr>
          <w:sz w:val="26"/>
          <w:szCs w:val="26"/>
          <w:lang w:val="es-MX"/>
        </w:rPr>
        <w:t>Una persona que ha sido sexualmente abusada y que qu</w:t>
      </w:r>
      <w:r w:rsidR="00346187" w:rsidRPr="00EE7190">
        <w:rPr>
          <w:sz w:val="26"/>
          <w:szCs w:val="26"/>
          <w:lang w:val="es-MX"/>
        </w:rPr>
        <w:t>iere soporte emocional puede bus</w:t>
      </w:r>
      <w:r w:rsidRPr="00EE7190">
        <w:rPr>
          <w:sz w:val="26"/>
          <w:szCs w:val="26"/>
          <w:lang w:val="es-MX"/>
        </w:rPr>
        <w:t>car asesoría de parte del personal de salud mental, de un consejero religioso o de algún voluntario o</w:t>
      </w:r>
      <w:r w:rsidR="00346187" w:rsidRPr="00EE7190">
        <w:rPr>
          <w:sz w:val="26"/>
          <w:szCs w:val="26"/>
          <w:lang w:val="es-MX"/>
        </w:rPr>
        <w:t xml:space="preserve"> colega</w:t>
      </w:r>
      <w:r w:rsidRPr="00EE7190">
        <w:rPr>
          <w:sz w:val="26"/>
          <w:szCs w:val="26"/>
          <w:lang w:val="es-MX"/>
        </w:rPr>
        <w:t xml:space="preserve"> consejero.</w:t>
      </w:r>
      <w:r w:rsidR="00EE7190">
        <w:rPr>
          <w:sz w:val="26"/>
          <w:szCs w:val="26"/>
          <w:lang w:val="es-MX"/>
        </w:rPr>
        <w:t xml:space="preserve"> </w:t>
      </w:r>
      <w:r w:rsidR="00346187" w:rsidRPr="00EE7190">
        <w:rPr>
          <w:sz w:val="26"/>
          <w:szCs w:val="26"/>
          <w:lang w:val="es-MX"/>
        </w:rPr>
        <w:t>El personal de salud mental de la prisión</w:t>
      </w:r>
      <w:r w:rsidR="00EE7190">
        <w:rPr>
          <w:sz w:val="26"/>
          <w:szCs w:val="26"/>
          <w:lang w:val="es-MX"/>
        </w:rPr>
        <w:t xml:space="preserve"> </w:t>
      </w:r>
      <w:r w:rsidR="00346187" w:rsidRPr="00EE7190">
        <w:rPr>
          <w:sz w:val="26"/>
          <w:szCs w:val="26"/>
          <w:lang w:val="es-MX"/>
        </w:rPr>
        <w:t>debe evaluar a la víctima de violencia sexual o la mala conducta del personal inmediatamente después de un informe de agresión sexual</w:t>
      </w:r>
      <w:r w:rsidR="00B553A9" w:rsidRPr="00EE7190">
        <w:rPr>
          <w:sz w:val="26"/>
          <w:szCs w:val="26"/>
          <w:lang w:val="es-MX"/>
        </w:rPr>
        <w:t>.</w:t>
      </w:r>
      <w:r w:rsidR="00B553A9" w:rsidRPr="00EE7190">
        <w:rPr>
          <w:rStyle w:val="FootnoteReference"/>
          <w:sz w:val="26"/>
          <w:szCs w:val="26"/>
          <w:lang w:val="es-MX"/>
        </w:rPr>
        <w:footnoteReference w:id="39"/>
      </w:r>
      <w:r w:rsidR="00EE7190">
        <w:rPr>
          <w:sz w:val="26"/>
          <w:szCs w:val="26"/>
          <w:lang w:val="es-MX"/>
        </w:rPr>
        <w:t xml:space="preserve"> </w:t>
      </w:r>
      <w:r w:rsidR="00346187" w:rsidRPr="00EE7190">
        <w:rPr>
          <w:sz w:val="26"/>
          <w:szCs w:val="26"/>
          <w:lang w:val="es-MX"/>
        </w:rPr>
        <w:t xml:space="preserve">También deben dar tratamiento de seguimiento de salud mental y </w:t>
      </w:r>
      <w:proofErr w:type="spellStart"/>
      <w:r w:rsidR="00346187" w:rsidRPr="00EE7190">
        <w:rPr>
          <w:sz w:val="26"/>
          <w:szCs w:val="26"/>
          <w:lang w:val="es-MX"/>
        </w:rPr>
        <w:t>asesorias</w:t>
      </w:r>
      <w:proofErr w:type="spellEnd"/>
      <w:r w:rsidR="00346187" w:rsidRPr="00EE7190">
        <w:rPr>
          <w:sz w:val="26"/>
          <w:szCs w:val="26"/>
          <w:lang w:val="es-MX"/>
        </w:rPr>
        <w:t xml:space="preserve"> tanto como sea necesario.</w:t>
      </w:r>
      <w:r w:rsidR="00B553A9" w:rsidRPr="00EE7190">
        <w:rPr>
          <w:rStyle w:val="FootnoteReference"/>
          <w:sz w:val="26"/>
          <w:szCs w:val="26"/>
          <w:lang w:val="es-MX"/>
        </w:rPr>
        <w:footnoteReference w:id="40"/>
      </w:r>
      <w:r w:rsidR="00B553A9" w:rsidRPr="00EE7190">
        <w:rPr>
          <w:sz w:val="26"/>
          <w:szCs w:val="26"/>
          <w:lang w:val="es-MX"/>
        </w:rPr>
        <w:t xml:space="preserve"> </w:t>
      </w:r>
      <w:r w:rsidR="00346187" w:rsidRPr="00EE7190">
        <w:rPr>
          <w:sz w:val="26"/>
          <w:szCs w:val="26"/>
          <w:lang w:val="es-MX"/>
        </w:rPr>
        <w:t xml:space="preserve">El personal penitenciario debe dar a la </w:t>
      </w:r>
      <w:proofErr w:type="spellStart"/>
      <w:r w:rsidR="00346187" w:rsidRPr="00EE7190">
        <w:rPr>
          <w:sz w:val="26"/>
          <w:szCs w:val="26"/>
          <w:lang w:val="es-MX"/>
        </w:rPr>
        <w:t>vítima</w:t>
      </w:r>
      <w:proofErr w:type="spellEnd"/>
      <w:r w:rsidR="00346187" w:rsidRPr="00EE7190">
        <w:rPr>
          <w:sz w:val="26"/>
          <w:szCs w:val="26"/>
          <w:lang w:val="es-MX"/>
        </w:rPr>
        <w:t xml:space="preserve"> de abuso sexual</w:t>
      </w:r>
      <w:r w:rsidR="00EE7190">
        <w:rPr>
          <w:sz w:val="26"/>
          <w:szCs w:val="26"/>
          <w:lang w:val="es-MX"/>
        </w:rPr>
        <w:t xml:space="preserve"> </w:t>
      </w:r>
      <w:r w:rsidR="00346187" w:rsidRPr="00EE7190">
        <w:rPr>
          <w:sz w:val="26"/>
          <w:szCs w:val="26"/>
          <w:lang w:val="es-MX"/>
        </w:rPr>
        <w:t>información de contacto para organizaciones externas</w:t>
      </w:r>
      <w:r w:rsidR="00EE7190">
        <w:rPr>
          <w:sz w:val="26"/>
          <w:szCs w:val="26"/>
          <w:lang w:val="es-MX"/>
        </w:rPr>
        <w:t xml:space="preserve"> </w:t>
      </w:r>
      <w:r w:rsidR="00346187" w:rsidRPr="00EE7190">
        <w:rPr>
          <w:sz w:val="26"/>
          <w:szCs w:val="26"/>
          <w:lang w:val="es-MX"/>
        </w:rPr>
        <w:t>de apoyo emocional y defensa de las víctimas.</w:t>
      </w:r>
      <w:r w:rsidR="00B553A9" w:rsidRPr="00EE7190">
        <w:rPr>
          <w:rStyle w:val="FootnoteReference"/>
          <w:sz w:val="26"/>
          <w:szCs w:val="26"/>
          <w:lang w:val="es-MX"/>
        </w:rPr>
        <w:footnoteReference w:id="41"/>
      </w:r>
    </w:p>
    <w:p w:rsidR="00B553A9" w:rsidRPr="00EE7190" w:rsidRDefault="00B553A9" w:rsidP="001C11C0">
      <w:pPr>
        <w:pStyle w:val="BiABC0"/>
        <w:jc w:val="both"/>
        <w:outlineLvl w:val="1"/>
        <w:rPr>
          <w:color w:val="FF0000"/>
          <w:sz w:val="26"/>
          <w:szCs w:val="26"/>
          <w:lang w:val="es-MX"/>
        </w:rPr>
      </w:pPr>
      <w:bookmarkStart w:id="14" w:name="_Toc11662506"/>
      <w:bookmarkStart w:id="15" w:name="_Toc11662667"/>
      <w:r w:rsidRPr="00EE7190">
        <w:rPr>
          <w:sz w:val="26"/>
          <w:szCs w:val="26"/>
          <w:lang w:val="es-MX"/>
        </w:rPr>
        <w:t xml:space="preserve">C. </w:t>
      </w:r>
      <w:r w:rsidRPr="00EE7190">
        <w:rPr>
          <w:sz w:val="26"/>
          <w:szCs w:val="26"/>
          <w:lang w:val="es-MX"/>
        </w:rPr>
        <w:tab/>
      </w:r>
      <w:r w:rsidR="00472095" w:rsidRPr="00EE7190">
        <w:rPr>
          <w:sz w:val="26"/>
          <w:szCs w:val="26"/>
          <w:lang w:val="es-MX"/>
        </w:rPr>
        <w:t>Ingreso a Alojamiento de Protección</w:t>
      </w:r>
      <w:bookmarkEnd w:id="14"/>
      <w:bookmarkEnd w:id="15"/>
      <w:r w:rsidRPr="00EE7190">
        <w:rPr>
          <w:color w:val="000000" w:themeColor="text1"/>
          <w:sz w:val="26"/>
          <w:szCs w:val="26"/>
          <w:lang w:val="es-MX"/>
        </w:rPr>
        <w:t xml:space="preserve"> </w:t>
      </w:r>
    </w:p>
    <w:p w:rsidR="00B553A9" w:rsidRPr="00EE7190" w:rsidRDefault="00472095" w:rsidP="001C11C0">
      <w:pPr>
        <w:ind w:firstLine="720"/>
        <w:jc w:val="both"/>
        <w:rPr>
          <w:sz w:val="26"/>
          <w:szCs w:val="26"/>
          <w:lang w:val="es-MX"/>
        </w:rPr>
      </w:pPr>
      <w:r w:rsidRPr="00EE7190">
        <w:rPr>
          <w:sz w:val="26"/>
          <w:szCs w:val="26"/>
          <w:lang w:val="es-MX"/>
        </w:rPr>
        <w:t xml:space="preserve">Cuando una persona encarcelada es el blanco de una agresión sexual o la presionan, </w:t>
      </w:r>
      <w:proofErr w:type="spellStart"/>
      <w:r w:rsidRPr="00EE7190">
        <w:rPr>
          <w:sz w:val="26"/>
          <w:szCs w:val="26"/>
          <w:lang w:val="es-MX"/>
        </w:rPr>
        <w:t>el</w:t>
      </w:r>
      <w:proofErr w:type="spellEnd"/>
      <w:r w:rsidRPr="00EE7190">
        <w:rPr>
          <w:sz w:val="26"/>
          <w:szCs w:val="26"/>
          <w:lang w:val="es-MX"/>
        </w:rPr>
        <w:t xml:space="preserve"> o ella puede querer intentar conseguir un cambio de alojamiento por cuestiones de protección. El personal penitenciario tiene una responsabilidad de asegurar la seguridad de la persona encarcelada quien está en peligro de abuso sexual o quien ha sido sexualmente abusada</w:t>
      </w:r>
      <w:r w:rsidR="00B553A9" w:rsidRPr="00EE7190">
        <w:rPr>
          <w:sz w:val="26"/>
          <w:szCs w:val="26"/>
          <w:lang w:val="es-MX"/>
        </w:rPr>
        <w:t>.</w:t>
      </w:r>
      <w:r w:rsidR="00B553A9" w:rsidRPr="00EE7190">
        <w:rPr>
          <w:rStyle w:val="FootnoteReference"/>
          <w:sz w:val="26"/>
          <w:szCs w:val="26"/>
          <w:lang w:val="es-MX"/>
        </w:rPr>
        <w:footnoteReference w:id="42"/>
      </w:r>
      <w:r w:rsidR="00EE7190">
        <w:rPr>
          <w:sz w:val="26"/>
          <w:szCs w:val="26"/>
          <w:vertAlign w:val="superscript"/>
          <w:lang w:val="es-MX"/>
        </w:rPr>
        <w:t xml:space="preserve"> </w:t>
      </w:r>
      <w:r w:rsidRPr="00EE7190">
        <w:rPr>
          <w:sz w:val="26"/>
          <w:szCs w:val="26"/>
          <w:lang w:val="es-MX"/>
        </w:rPr>
        <w:t>Esto incluye estar seguro de que la víctima está alojada segura</w:t>
      </w:r>
      <w:r w:rsidR="00B553A9" w:rsidRPr="00EE7190">
        <w:rPr>
          <w:sz w:val="26"/>
          <w:szCs w:val="26"/>
          <w:lang w:val="es-MX"/>
        </w:rPr>
        <w:t>.</w:t>
      </w:r>
      <w:r w:rsidR="00B553A9" w:rsidRPr="00EE7190">
        <w:rPr>
          <w:rStyle w:val="FootnoteReference"/>
          <w:sz w:val="26"/>
          <w:szCs w:val="26"/>
          <w:lang w:val="es-MX"/>
        </w:rPr>
        <w:footnoteReference w:id="43"/>
      </w:r>
      <w:r w:rsidR="00EE7190">
        <w:rPr>
          <w:sz w:val="26"/>
          <w:szCs w:val="26"/>
          <w:lang w:val="es-MX"/>
        </w:rPr>
        <w:t xml:space="preserve"> </w:t>
      </w:r>
      <w:r w:rsidRPr="00EE7190">
        <w:rPr>
          <w:sz w:val="26"/>
          <w:szCs w:val="26"/>
          <w:lang w:val="es-MX"/>
        </w:rPr>
        <w:t xml:space="preserve">Esto puede </w:t>
      </w:r>
      <w:proofErr w:type="spellStart"/>
      <w:r w:rsidRPr="00EE7190">
        <w:rPr>
          <w:sz w:val="26"/>
          <w:szCs w:val="26"/>
          <w:lang w:val="es-MX"/>
        </w:rPr>
        <w:t>tambien</w:t>
      </w:r>
      <w:proofErr w:type="spellEnd"/>
      <w:r w:rsidRPr="00EE7190">
        <w:rPr>
          <w:sz w:val="26"/>
          <w:szCs w:val="26"/>
          <w:lang w:val="es-MX"/>
        </w:rPr>
        <w:t xml:space="preserve"> incluir investigar cualquier acto de represalia,</w:t>
      </w:r>
      <w:r w:rsidR="00EE7190">
        <w:rPr>
          <w:sz w:val="26"/>
          <w:szCs w:val="26"/>
          <w:lang w:val="es-MX"/>
        </w:rPr>
        <w:t xml:space="preserve"> </w:t>
      </w:r>
      <w:r w:rsidRPr="00EE7190">
        <w:rPr>
          <w:sz w:val="26"/>
          <w:szCs w:val="26"/>
          <w:lang w:val="es-MX"/>
        </w:rPr>
        <w:t xml:space="preserve">ya que el personal y otros presos no se supone que tengan represalias en contra de una persona </w:t>
      </w:r>
      <w:r w:rsidRPr="00EE7190">
        <w:rPr>
          <w:sz w:val="26"/>
          <w:szCs w:val="26"/>
          <w:lang w:val="es-MX"/>
        </w:rPr>
        <w:lastRenderedPageBreak/>
        <w:t>encarcelada que reporta abuso sexual, y si la represalia es probada – la conducta puede resultar en disciplina.</w:t>
      </w:r>
      <w:r w:rsidR="00B553A9" w:rsidRPr="00EE7190">
        <w:rPr>
          <w:rStyle w:val="FootnoteReference"/>
          <w:sz w:val="26"/>
          <w:szCs w:val="26"/>
          <w:lang w:val="es-MX"/>
        </w:rPr>
        <w:footnoteReference w:id="44"/>
      </w:r>
      <w:r w:rsidR="00B553A9" w:rsidRPr="00EE7190">
        <w:rPr>
          <w:sz w:val="26"/>
          <w:szCs w:val="26"/>
          <w:lang w:val="es-MX"/>
        </w:rPr>
        <w:t xml:space="preserve"> </w:t>
      </w:r>
    </w:p>
    <w:p w:rsidR="00345A37" w:rsidRPr="00EE7190" w:rsidRDefault="00345A37" w:rsidP="001C11C0">
      <w:pPr>
        <w:ind w:firstLine="720"/>
        <w:jc w:val="both"/>
        <w:rPr>
          <w:sz w:val="26"/>
          <w:szCs w:val="26"/>
          <w:lang w:val="es-MX"/>
        </w:rPr>
      </w:pPr>
    </w:p>
    <w:p w:rsidR="00B553A9" w:rsidRPr="00EE7190" w:rsidRDefault="00472095" w:rsidP="001C11C0">
      <w:pPr>
        <w:ind w:firstLine="720"/>
        <w:jc w:val="both"/>
        <w:rPr>
          <w:sz w:val="26"/>
          <w:szCs w:val="26"/>
          <w:lang w:val="es-MX"/>
        </w:rPr>
      </w:pPr>
      <w:r w:rsidRPr="00EE7190">
        <w:rPr>
          <w:sz w:val="26"/>
          <w:szCs w:val="26"/>
          <w:lang w:val="es-MX"/>
        </w:rPr>
        <w:t>Una persona encarcelada puede ser puesta en “detención por investigación” durante una investigación</w:t>
      </w:r>
      <w:r w:rsidR="00B553A9" w:rsidRPr="00EE7190">
        <w:rPr>
          <w:sz w:val="26"/>
          <w:szCs w:val="26"/>
          <w:lang w:val="es-MX"/>
        </w:rPr>
        <w:t>.</w:t>
      </w:r>
      <w:r w:rsidR="00B553A9" w:rsidRPr="00EE7190">
        <w:rPr>
          <w:rStyle w:val="FootnoteReference"/>
          <w:sz w:val="26"/>
          <w:szCs w:val="26"/>
          <w:lang w:val="es-MX"/>
        </w:rPr>
        <w:footnoteReference w:id="45"/>
      </w:r>
      <w:r w:rsidR="00EE7190">
        <w:rPr>
          <w:sz w:val="26"/>
          <w:szCs w:val="26"/>
          <w:lang w:val="es-MX"/>
        </w:rPr>
        <w:t xml:space="preserve"> </w:t>
      </w:r>
      <w:r w:rsidR="0012275D" w:rsidRPr="00EE7190">
        <w:rPr>
          <w:sz w:val="26"/>
          <w:szCs w:val="26"/>
          <w:lang w:val="es-MX"/>
        </w:rPr>
        <w:t>La detención por investigación puede no ser punitiva, y el personal penitenciario debe tomar medidas razonables para garantizar que a la persona encarcelada se le den todos los privilegios</w:t>
      </w:r>
      <w:r w:rsidR="00EE7190">
        <w:rPr>
          <w:sz w:val="26"/>
          <w:szCs w:val="26"/>
          <w:lang w:val="es-MX"/>
        </w:rPr>
        <w:t xml:space="preserve"> </w:t>
      </w:r>
      <w:r w:rsidR="0012275D" w:rsidRPr="00EE7190">
        <w:rPr>
          <w:sz w:val="26"/>
          <w:szCs w:val="26"/>
          <w:lang w:val="es-MX"/>
        </w:rPr>
        <w:t>que tenía antes de ser incluida en la detención por investigación</w:t>
      </w:r>
      <w:r w:rsidR="00B553A9" w:rsidRPr="00EE7190">
        <w:rPr>
          <w:sz w:val="26"/>
          <w:szCs w:val="26"/>
          <w:lang w:val="es-MX"/>
        </w:rPr>
        <w:t>.</w:t>
      </w:r>
      <w:r w:rsidR="00B553A9" w:rsidRPr="00EE7190">
        <w:rPr>
          <w:rStyle w:val="FootnoteReference"/>
          <w:sz w:val="26"/>
          <w:szCs w:val="26"/>
          <w:lang w:val="es-MX"/>
        </w:rPr>
        <w:footnoteReference w:id="46"/>
      </w:r>
      <w:r w:rsidR="00EE7190">
        <w:rPr>
          <w:sz w:val="26"/>
          <w:szCs w:val="26"/>
          <w:lang w:val="es-MX"/>
        </w:rPr>
        <w:t xml:space="preserve"> </w:t>
      </w:r>
      <w:r w:rsidR="0012275D" w:rsidRPr="00EE7190">
        <w:rPr>
          <w:sz w:val="26"/>
          <w:szCs w:val="26"/>
          <w:lang w:val="es-MX"/>
        </w:rPr>
        <w:t xml:space="preserve">Cualquier </w:t>
      </w:r>
      <w:proofErr w:type="spellStart"/>
      <w:r w:rsidR="0012275D" w:rsidRPr="00EE7190">
        <w:rPr>
          <w:sz w:val="26"/>
          <w:szCs w:val="26"/>
          <w:lang w:val="es-MX"/>
        </w:rPr>
        <w:t>restrición</w:t>
      </w:r>
      <w:proofErr w:type="spellEnd"/>
      <w:r w:rsidR="0012275D" w:rsidRPr="00EE7190">
        <w:rPr>
          <w:sz w:val="26"/>
          <w:szCs w:val="26"/>
          <w:lang w:val="es-MX"/>
        </w:rPr>
        <w:t xml:space="preserve"> o cambios mientras se esté en detención por investigación tienen que ser documentados.</w:t>
      </w:r>
      <w:r w:rsidR="00B553A9" w:rsidRPr="00EE7190">
        <w:rPr>
          <w:rStyle w:val="FootnoteReference"/>
          <w:sz w:val="26"/>
          <w:szCs w:val="26"/>
          <w:lang w:val="es-MX"/>
        </w:rPr>
        <w:footnoteReference w:id="47"/>
      </w:r>
      <w:r w:rsidR="00EE7190">
        <w:rPr>
          <w:sz w:val="26"/>
          <w:szCs w:val="26"/>
          <w:lang w:val="es-MX"/>
        </w:rPr>
        <w:t xml:space="preserve"> </w:t>
      </w:r>
      <w:r w:rsidR="0012275D" w:rsidRPr="00EE7190">
        <w:rPr>
          <w:sz w:val="26"/>
          <w:szCs w:val="26"/>
          <w:lang w:val="es-MX"/>
        </w:rPr>
        <w:t>La detención por investigación está limitada a 30 días a menos que exista una circunstancia excepcional en la cual una extensión de tiempo, sea solicitada por el director de división, y esta tiene que ser aprobada por escrito</w:t>
      </w:r>
      <w:r w:rsidR="00B553A9" w:rsidRPr="00EE7190">
        <w:rPr>
          <w:sz w:val="26"/>
          <w:szCs w:val="26"/>
          <w:lang w:val="es-MX"/>
        </w:rPr>
        <w:t>.</w:t>
      </w:r>
      <w:r w:rsidR="00B553A9" w:rsidRPr="00EE7190">
        <w:rPr>
          <w:rStyle w:val="FootnoteReference"/>
          <w:sz w:val="26"/>
          <w:szCs w:val="26"/>
          <w:lang w:val="es-MX"/>
        </w:rPr>
        <w:footnoteReference w:id="48"/>
      </w:r>
    </w:p>
    <w:p w:rsidR="00345A37" w:rsidRPr="00EE7190" w:rsidRDefault="00345A37" w:rsidP="001C11C0">
      <w:pPr>
        <w:jc w:val="both"/>
        <w:rPr>
          <w:sz w:val="26"/>
          <w:szCs w:val="26"/>
          <w:lang w:val="es-MX"/>
        </w:rPr>
      </w:pPr>
    </w:p>
    <w:p w:rsidR="00B553A9" w:rsidRPr="00EE7190" w:rsidRDefault="0012275D" w:rsidP="001C11C0">
      <w:pPr>
        <w:ind w:firstLine="720"/>
        <w:jc w:val="both"/>
        <w:rPr>
          <w:sz w:val="26"/>
          <w:szCs w:val="26"/>
          <w:lang w:val="es-MX"/>
        </w:rPr>
      </w:pPr>
      <w:r w:rsidRPr="00EE7190">
        <w:rPr>
          <w:sz w:val="26"/>
          <w:szCs w:val="26"/>
          <w:lang w:val="es-MX"/>
        </w:rPr>
        <w:t xml:space="preserve">Una persona encarcelada puede </w:t>
      </w:r>
      <w:proofErr w:type="spellStart"/>
      <w:r w:rsidRPr="00EE7190">
        <w:rPr>
          <w:sz w:val="26"/>
          <w:szCs w:val="26"/>
          <w:lang w:val="es-MX"/>
        </w:rPr>
        <w:t>tambien</w:t>
      </w:r>
      <w:proofErr w:type="spellEnd"/>
      <w:r w:rsidRPr="00EE7190">
        <w:rPr>
          <w:sz w:val="26"/>
          <w:szCs w:val="26"/>
          <w:lang w:val="es-MX"/>
        </w:rPr>
        <w:t xml:space="preserve"> solicitar, por escrito o verbalmente, ser colocada en Custodia </w:t>
      </w:r>
      <w:proofErr w:type="spellStart"/>
      <w:r w:rsidRPr="00EE7190">
        <w:rPr>
          <w:sz w:val="26"/>
          <w:szCs w:val="26"/>
          <w:lang w:val="es-MX"/>
        </w:rPr>
        <w:t>Protectiva</w:t>
      </w:r>
      <w:proofErr w:type="spellEnd"/>
      <w:r w:rsidR="00B553A9" w:rsidRPr="00EE7190">
        <w:rPr>
          <w:sz w:val="26"/>
          <w:szCs w:val="26"/>
          <w:lang w:val="es-MX"/>
        </w:rPr>
        <w:t>.</w:t>
      </w:r>
      <w:r w:rsidR="00B553A9" w:rsidRPr="00EE7190">
        <w:rPr>
          <w:rStyle w:val="FootnoteReference"/>
          <w:sz w:val="26"/>
          <w:szCs w:val="26"/>
          <w:lang w:val="es-MX"/>
        </w:rPr>
        <w:footnoteReference w:id="49"/>
      </w:r>
      <w:r w:rsidR="00B553A9" w:rsidRPr="00EE7190">
        <w:rPr>
          <w:sz w:val="26"/>
          <w:szCs w:val="26"/>
          <w:lang w:val="es-MX"/>
        </w:rPr>
        <w:t xml:space="preserve"> </w:t>
      </w:r>
      <w:r w:rsidR="00FC2525" w:rsidRPr="00EE7190">
        <w:rPr>
          <w:sz w:val="26"/>
          <w:szCs w:val="26"/>
          <w:lang w:val="es-MX"/>
        </w:rPr>
        <w:t xml:space="preserve">Ser colocada en custodia </w:t>
      </w:r>
      <w:proofErr w:type="spellStart"/>
      <w:r w:rsidR="00FC2525" w:rsidRPr="00EE7190">
        <w:rPr>
          <w:sz w:val="26"/>
          <w:szCs w:val="26"/>
          <w:lang w:val="es-MX"/>
        </w:rPr>
        <w:t>protectiva</w:t>
      </w:r>
      <w:proofErr w:type="spellEnd"/>
      <w:r w:rsidR="00FC2525" w:rsidRPr="00EE7190">
        <w:rPr>
          <w:sz w:val="26"/>
          <w:szCs w:val="26"/>
          <w:lang w:val="es-MX"/>
        </w:rPr>
        <w:t xml:space="preserve"> es un proceso que incluye: revisión inicial, revisión informal y revisión formal.</w:t>
      </w:r>
      <w:r w:rsidR="00EE7190">
        <w:rPr>
          <w:sz w:val="26"/>
          <w:szCs w:val="26"/>
          <w:lang w:val="es-MX"/>
        </w:rPr>
        <w:t xml:space="preserve"> </w:t>
      </w:r>
      <w:r w:rsidR="00FC2525" w:rsidRPr="00EE7190">
        <w:rPr>
          <w:sz w:val="26"/>
          <w:szCs w:val="26"/>
          <w:lang w:val="es-MX"/>
        </w:rPr>
        <w:t>Desafortunadamente, usted puede ser colocado en una unidad de detención o “rehusarse a alojarse” en una</w:t>
      </w:r>
      <w:r w:rsidR="00EE7190">
        <w:rPr>
          <w:sz w:val="26"/>
          <w:szCs w:val="26"/>
          <w:lang w:val="es-MX"/>
        </w:rPr>
        <w:t xml:space="preserve"> </w:t>
      </w:r>
      <w:r w:rsidR="00FC2525" w:rsidRPr="00EE7190">
        <w:rPr>
          <w:sz w:val="26"/>
          <w:szCs w:val="26"/>
          <w:lang w:val="es-MX"/>
        </w:rPr>
        <w:t>en lo que dura el proceso</w:t>
      </w:r>
      <w:r w:rsidR="00B553A9" w:rsidRPr="00EE7190">
        <w:rPr>
          <w:sz w:val="26"/>
          <w:szCs w:val="26"/>
          <w:lang w:val="es-MX"/>
        </w:rPr>
        <w:t>.</w:t>
      </w:r>
      <w:r w:rsidR="00B553A9" w:rsidRPr="00EE7190">
        <w:rPr>
          <w:rStyle w:val="FootnoteReference"/>
          <w:sz w:val="26"/>
          <w:szCs w:val="26"/>
          <w:lang w:val="es-MX"/>
        </w:rPr>
        <w:t xml:space="preserve"> </w:t>
      </w:r>
      <w:r w:rsidR="00B553A9" w:rsidRPr="00EE7190">
        <w:rPr>
          <w:rStyle w:val="FootnoteReference"/>
          <w:sz w:val="26"/>
          <w:szCs w:val="26"/>
          <w:lang w:val="es-MX"/>
        </w:rPr>
        <w:footnoteReference w:id="50"/>
      </w:r>
      <w:r w:rsidR="00EE7190">
        <w:rPr>
          <w:sz w:val="26"/>
          <w:szCs w:val="26"/>
          <w:lang w:val="es-MX"/>
        </w:rPr>
        <w:t xml:space="preserve"> </w:t>
      </w:r>
      <w:proofErr w:type="spellStart"/>
      <w:r w:rsidR="00B553A9" w:rsidRPr="00EE7190">
        <w:rPr>
          <w:sz w:val="26"/>
          <w:szCs w:val="26"/>
          <w:lang w:val="es-MX"/>
        </w:rPr>
        <w:t>The</w:t>
      </w:r>
      <w:proofErr w:type="spellEnd"/>
      <w:r w:rsidR="00B553A9" w:rsidRPr="00EE7190">
        <w:rPr>
          <w:sz w:val="26"/>
          <w:szCs w:val="26"/>
          <w:lang w:val="es-MX"/>
        </w:rPr>
        <w:t xml:space="preserve"> </w:t>
      </w:r>
      <w:proofErr w:type="spellStart"/>
      <w:r w:rsidR="00B553A9" w:rsidRPr="00EE7190">
        <w:rPr>
          <w:sz w:val="26"/>
          <w:szCs w:val="26"/>
          <w:lang w:val="es-MX"/>
        </w:rPr>
        <w:t>Prison</w:t>
      </w:r>
      <w:proofErr w:type="spellEnd"/>
      <w:r w:rsidR="00B553A9" w:rsidRPr="00EE7190">
        <w:rPr>
          <w:sz w:val="26"/>
          <w:szCs w:val="26"/>
          <w:lang w:val="es-MX"/>
        </w:rPr>
        <w:t xml:space="preserve"> </w:t>
      </w:r>
      <w:proofErr w:type="spellStart"/>
      <w:r w:rsidR="00B553A9" w:rsidRPr="00EE7190">
        <w:rPr>
          <w:sz w:val="26"/>
          <w:szCs w:val="26"/>
          <w:lang w:val="es-MX"/>
        </w:rPr>
        <w:t>Law</w:t>
      </w:r>
      <w:proofErr w:type="spellEnd"/>
      <w:r w:rsidR="00B553A9" w:rsidRPr="00EE7190">
        <w:rPr>
          <w:sz w:val="26"/>
          <w:szCs w:val="26"/>
          <w:lang w:val="es-MX"/>
        </w:rPr>
        <w:t xml:space="preserve"> Office</w:t>
      </w:r>
      <w:r w:rsidR="00FC2525" w:rsidRPr="00EE7190">
        <w:rPr>
          <w:sz w:val="26"/>
          <w:szCs w:val="26"/>
          <w:lang w:val="es-MX"/>
        </w:rPr>
        <w:t xml:space="preserve"> tiene un manual gratuito con mayor información sobre Custodia </w:t>
      </w:r>
      <w:proofErr w:type="spellStart"/>
      <w:r w:rsidR="00FC2525" w:rsidRPr="00EE7190">
        <w:rPr>
          <w:sz w:val="26"/>
          <w:szCs w:val="26"/>
          <w:lang w:val="es-MX"/>
        </w:rPr>
        <w:t>Protectiva,de</w:t>
      </w:r>
      <w:proofErr w:type="spellEnd"/>
      <w:r w:rsidR="00FC2525" w:rsidRPr="00EE7190">
        <w:rPr>
          <w:sz w:val="26"/>
          <w:szCs w:val="26"/>
          <w:lang w:val="es-MX"/>
        </w:rPr>
        <w:t xml:space="preserve"> la cual</w:t>
      </w:r>
      <w:r w:rsidR="00EE7190">
        <w:rPr>
          <w:sz w:val="26"/>
          <w:szCs w:val="26"/>
          <w:lang w:val="es-MX"/>
        </w:rPr>
        <w:t xml:space="preserve"> </w:t>
      </w:r>
      <w:r w:rsidR="00FC2525" w:rsidRPr="00EE7190">
        <w:rPr>
          <w:sz w:val="26"/>
          <w:szCs w:val="26"/>
          <w:lang w:val="es-MX"/>
        </w:rPr>
        <w:t>usted puede adquirir una copia si nos escribe solicitándola</w:t>
      </w:r>
      <w:r w:rsidR="00B553A9" w:rsidRPr="00EE7190">
        <w:rPr>
          <w:sz w:val="26"/>
          <w:szCs w:val="26"/>
          <w:lang w:val="es-MX"/>
        </w:rPr>
        <w:t>.</w:t>
      </w:r>
      <w:r w:rsidR="00B553A9" w:rsidRPr="00EE7190">
        <w:rPr>
          <w:rStyle w:val="FootnoteReference"/>
          <w:sz w:val="26"/>
          <w:szCs w:val="26"/>
          <w:lang w:val="es-MX"/>
        </w:rPr>
        <w:footnoteReference w:id="51"/>
      </w:r>
      <w:r w:rsidR="00B553A9" w:rsidRPr="00EE7190">
        <w:rPr>
          <w:sz w:val="26"/>
          <w:szCs w:val="26"/>
          <w:lang w:val="es-MX"/>
        </w:rPr>
        <w:t xml:space="preserve"> </w:t>
      </w:r>
    </w:p>
    <w:p w:rsidR="00B553A9" w:rsidRPr="00EE7190" w:rsidRDefault="00B553A9" w:rsidP="001C11C0">
      <w:pPr>
        <w:jc w:val="both"/>
        <w:rPr>
          <w:sz w:val="26"/>
          <w:szCs w:val="26"/>
          <w:lang w:val="es-MX"/>
        </w:rPr>
      </w:pPr>
    </w:p>
    <w:p w:rsidR="00B553A9" w:rsidRPr="00EE7190" w:rsidRDefault="00FC2525" w:rsidP="001C11C0">
      <w:pPr>
        <w:ind w:firstLine="720"/>
        <w:jc w:val="both"/>
        <w:rPr>
          <w:sz w:val="26"/>
          <w:szCs w:val="26"/>
          <w:lang w:val="es-MX"/>
        </w:rPr>
      </w:pPr>
      <w:r w:rsidRPr="00EE7190">
        <w:rPr>
          <w:sz w:val="26"/>
          <w:szCs w:val="26"/>
          <w:lang w:val="es-MX"/>
        </w:rPr>
        <w:t xml:space="preserve">Previo a la colocación en custodia </w:t>
      </w:r>
      <w:proofErr w:type="spellStart"/>
      <w:r w:rsidRPr="00EE7190">
        <w:rPr>
          <w:sz w:val="26"/>
          <w:szCs w:val="26"/>
          <w:lang w:val="es-MX"/>
        </w:rPr>
        <w:t>protectiva</w:t>
      </w:r>
      <w:proofErr w:type="spellEnd"/>
      <w:r w:rsidRPr="00EE7190">
        <w:rPr>
          <w:sz w:val="26"/>
          <w:szCs w:val="26"/>
          <w:lang w:val="es-MX"/>
        </w:rPr>
        <w:t xml:space="preserve">, el personal penitenciario puede hacer un esfuerzo para resolver las preocupaciones de seguridad de las personas encarceladas sin </w:t>
      </w:r>
      <w:r w:rsidR="004E17A5" w:rsidRPr="00EE7190">
        <w:rPr>
          <w:sz w:val="26"/>
          <w:szCs w:val="26"/>
          <w:lang w:val="es-MX"/>
        </w:rPr>
        <w:t xml:space="preserve">una asignación a custodia </w:t>
      </w:r>
      <w:proofErr w:type="spellStart"/>
      <w:r w:rsidR="004E17A5" w:rsidRPr="00EE7190">
        <w:rPr>
          <w:sz w:val="26"/>
          <w:szCs w:val="26"/>
          <w:lang w:val="es-MX"/>
        </w:rPr>
        <w:t>protectiva</w:t>
      </w:r>
      <w:proofErr w:type="spellEnd"/>
      <w:r w:rsidR="00B553A9" w:rsidRPr="00EE7190">
        <w:rPr>
          <w:sz w:val="26"/>
          <w:szCs w:val="26"/>
          <w:lang w:val="es-MX"/>
        </w:rPr>
        <w:t>.</w:t>
      </w:r>
      <w:r w:rsidR="00B553A9" w:rsidRPr="00EE7190">
        <w:rPr>
          <w:rStyle w:val="FootnoteReference"/>
          <w:sz w:val="26"/>
          <w:szCs w:val="26"/>
          <w:lang w:val="es-MX"/>
        </w:rPr>
        <w:footnoteReference w:id="52"/>
      </w:r>
      <w:r w:rsidR="00B553A9" w:rsidRPr="00EE7190">
        <w:rPr>
          <w:sz w:val="26"/>
          <w:szCs w:val="26"/>
          <w:lang w:val="es-MX"/>
        </w:rPr>
        <w:t xml:space="preserve"> </w:t>
      </w:r>
      <w:r w:rsidR="004E17A5" w:rsidRPr="00EE7190">
        <w:rPr>
          <w:sz w:val="26"/>
          <w:szCs w:val="26"/>
          <w:lang w:val="es-MX"/>
        </w:rPr>
        <w:t xml:space="preserve">Esto </w:t>
      </w:r>
      <w:proofErr w:type="spellStart"/>
      <w:r w:rsidR="004E17A5" w:rsidRPr="00EE7190">
        <w:rPr>
          <w:sz w:val="26"/>
          <w:szCs w:val="26"/>
          <w:lang w:val="es-MX"/>
        </w:rPr>
        <w:t>prodría</w:t>
      </w:r>
      <w:proofErr w:type="spellEnd"/>
      <w:r w:rsidR="004E17A5" w:rsidRPr="00EE7190">
        <w:rPr>
          <w:sz w:val="26"/>
          <w:szCs w:val="26"/>
          <w:lang w:val="es-MX"/>
        </w:rPr>
        <w:t xml:space="preserve"> incluir cambios al bloque de celda, asignación de cama, la adición de un No Alojar Con (“</w:t>
      </w:r>
      <w:proofErr w:type="spellStart"/>
      <w:r w:rsidR="004E17A5" w:rsidRPr="00EE7190">
        <w:rPr>
          <w:sz w:val="26"/>
          <w:szCs w:val="26"/>
          <w:lang w:val="es-MX"/>
        </w:rPr>
        <w:t>DNHW</w:t>
      </w:r>
      <w:proofErr w:type="spellEnd"/>
      <w:r w:rsidR="004E17A5" w:rsidRPr="00EE7190">
        <w:rPr>
          <w:sz w:val="26"/>
          <w:szCs w:val="26"/>
          <w:lang w:val="es-MX"/>
        </w:rPr>
        <w:t>” por sus siglas en Inglés) o mediación</w:t>
      </w:r>
      <w:r w:rsidR="00B553A9" w:rsidRPr="00EE7190">
        <w:rPr>
          <w:sz w:val="26"/>
          <w:szCs w:val="26"/>
          <w:lang w:val="es-MX"/>
        </w:rPr>
        <w:t>.</w:t>
      </w:r>
      <w:r w:rsidR="00B553A9" w:rsidRPr="00EE7190">
        <w:rPr>
          <w:rStyle w:val="FootnoteReference"/>
          <w:sz w:val="26"/>
          <w:szCs w:val="26"/>
          <w:lang w:val="es-MX"/>
        </w:rPr>
        <w:footnoteReference w:id="53"/>
      </w:r>
      <w:r w:rsidR="00B553A9" w:rsidRPr="00EE7190">
        <w:rPr>
          <w:sz w:val="26"/>
          <w:szCs w:val="26"/>
          <w:lang w:val="es-MX"/>
        </w:rPr>
        <w:t xml:space="preserve"> </w:t>
      </w:r>
    </w:p>
    <w:p w:rsidR="00345A37" w:rsidRPr="00EE7190" w:rsidRDefault="00345A37" w:rsidP="001C11C0">
      <w:pPr>
        <w:jc w:val="both"/>
        <w:rPr>
          <w:sz w:val="26"/>
          <w:szCs w:val="26"/>
          <w:u w:val="single"/>
          <w:lang w:val="es-MX"/>
        </w:rPr>
      </w:pPr>
      <w:r w:rsidRPr="00EE7190">
        <w:rPr>
          <w:sz w:val="26"/>
          <w:szCs w:val="26"/>
          <w:u w:val="single"/>
          <w:lang w:val="es-MX"/>
        </w:rPr>
        <w:br w:type="page"/>
      </w:r>
    </w:p>
    <w:p w:rsidR="00B553A9" w:rsidRPr="00EE7190" w:rsidRDefault="004E17A5" w:rsidP="001C11C0">
      <w:pPr>
        <w:pStyle w:val="BII"/>
        <w:jc w:val="both"/>
        <w:outlineLvl w:val="0"/>
        <w:rPr>
          <w:rFonts w:cs="Times New Roman"/>
          <w:lang w:val="es-MX"/>
        </w:rPr>
      </w:pPr>
      <w:bookmarkStart w:id="16" w:name="_Toc11662507"/>
      <w:bookmarkStart w:id="17" w:name="_Toc11662668"/>
      <w:r w:rsidRPr="00EE7190">
        <w:rPr>
          <w:rFonts w:eastAsiaTheme="minorEastAsia" w:cs="Times New Roman"/>
          <w:noProof/>
          <w:szCs w:val="26"/>
          <w:lang w:val="es-MX"/>
        </w:rPr>
        <w:lastRenderedPageBreak/>
        <w:t>Más Acciones para Conseguir Protección o Reparar Malas Conductas</w:t>
      </w:r>
      <w:bookmarkEnd w:id="16"/>
      <w:bookmarkEnd w:id="17"/>
      <w:r w:rsidRPr="00EE7190">
        <w:rPr>
          <w:rFonts w:eastAsiaTheme="minorEastAsia" w:cs="Times New Roman"/>
          <w:noProof/>
          <w:szCs w:val="26"/>
          <w:lang w:val="es-MX"/>
        </w:rPr>
        <w:t xml:space="preserve"> Pasadas</w:t>
      </w:r>
    </w:p>
    <w:p w:rsidR="00257C1A" w:rsidRPr="00EE7190" w:rsidRDefault="004E17A5" w:rsidP="001C11C0">
      <w:pPr>
        <w:ind w:firstLine="720"/>
        <w:jc w:val="both"/>
        <w:rPr>
          <w:sz w:val="26"/>
          <w:szCs w:val="26"/>
          <w:lang w:val="es-MX"/>
        </w:rPr>
      </w:pPr>
      <w:r w:rsidRPr="00EE7190">
        <w:rPr>
          <w:sz w:val="26"/>
          <w:szCs w:val="26"/>
          <w:lang w:val="es-MX"/>
        </w:rPr>
        <w:t>S</w:t>
      </w:r>
      <w:r w:rsidR="00257C1A" w:rsidRPr="00EE7190">
        <w:rPr>
          <w:sz w:val="26"/>
          <w:szCs w:val="26"/>
          <w:lang w:val="es-MX"/>
        </w:rPr>
        <w:t>i el personal penitenciario no responde apropiadamente a las quejas o amenazas de abuso sexual del pasado hay tres tipos de acciones legales que un preso puede tomar. Las siguientes sub secciones resumen esos tipos de acciones.</w:t>
      </w:r>
    </w:p>
    <w:p w:rsidR="00257C1A" w:rsidRPr="00EE7190" w:rsidRDefault="00257C1A" w:rsidP="001C11C0">
      <w:pPr>
        <w:ind w:firstLine="720"/>
        <w:jc w:val="both"/>
        <w:rPr>
          <w:sz w:val="26"/>
          <w:szCs w:val="26"/>
          <w:lang w:val="es-MX"/>
        </w:rPr>
      </w:pPr>
    </w:p>
    <w:p w:rsidR="00B553A9" w:rsidRPr="00EE7190" w:rsidRDefault="00B553A9" w:rsidP="001C11C0">
      <w:pPr>
        <w:pStyle w:val="BiABC0"/>
        <w:jc w:val="both"/>
        <w:outlineLvl w:val="1"/>
        <w:rPr>
          <w:sz w:val="26"/>
          <w:szCs w:val="26"/>
          <w:lang w:val="es-MX"/>
        </w:rPr>
      </w:pPr>
      <w:bookmarkStart w:id="18" w:name="_Toc11662669"/>
      <w:r w:rsidRPr="00EE7190">
        <w:rPr>
          <w:sz w:val="26"/>
          <w:szCs w:val="26"/>
          <w:lang w:val="es-MX"/>
        </w:rPr>
        <w:t>A.</w:t>
      </w:r>
      <w:r w:rsidRPr="00EE7190">
        <w:rPr>
          <w:sz w:val="26"/>
          <w:szCs w:val="26"/>
          <w:lang w:val="es-MX"/>
        </w:rPr>
        <w:tab/>
      </w:r>
      <w:r w:rsidR="008379FD" w:rsidRPr="00EE7190">
        <w:rPr>
          <w:sz w:val="26"/>
          <w:szCs w:val="26"/>
          <w:lang w:val="es-MX"/>
        </w:rPr>
        <w:t>Presentar una Queja</w:t>
      </w:r>
      <w:bookmarkEnd w:id="18"/>
    </w:p>
    <w:p w:rsidR="008379FD" w:rsidRPr="00EE7190" w:rsidRDefault="00345A37" w:rsidP="001C11C0">
      <w:pPr>
        <w:ind w:firstLine="720"/>
        <w:jc w:val="both"/>
        <w:rPr>
          <w:sz w:val="26"/>
          <w:szCs w:val="26"/>
          <w:lang w:val="es-MX"/>
        </w:rPr>
      </w:pPr>
      <w:proofErr w:type="spellStart"/>
      <w:r w:rsidRPr="00EE7190">
        <w:rPr>
          <w:sz w:val="26"/>
          <w:szCs w:val="26"/>
          <w:lang w:val="es-MX"/>
        </w:rPr>
        <w:t>Prison</w:t>
      </w:r>
      <w:proofErr w:type="spellEnd"/>
      <w:r w:rsidRPr="00EE7190">
        <w:rPr>
          <w:sz w:val="26"/>
          <w:szCs w:val="26"/>
          <w:lang w:val="es-MX"/>
        </w:rPr>
        <w:t xml:space="preserve"> </w:t>
      </w:r>
      <w:proofErr w:type="spellStart"/>
      <w:r w:rsidRPr="00EE7190">
        <w:rPr>
          <w:sz w:val="26"/>
          <w:szCs w:val="26"/>
          <w:lang w:val="es-MX"/>
        </w:rPr>
        <w:t>Law</w:t>
      </w:r>
      <w:proofErr w:type="spellEnd"/>
      <w:r w:rsidRPr="00EE7190">
        <w:rPr>
          <w:sz w:val="26"/>
          <w:szCs w:val="26"/>
          <w:lang w:val="es-MX"/>
        </w:rPr>
        <w:t xml:space="preserve"> Office</w:t>
      </w:r>
      <w:r w:rsidR="00EE7190">
        <w:rPr>
          <w:sz w:val="26"/>
          <w:szCs w:val="26"/>
          <w:lang w:val="es-MX"/>
        </w:rPr>
        <w:t xml:space="preserve"> </w:t>
      </w:r>
      <w:r w:rsidR="008379FD" w:rsidRPr="00EE7190">
        <w:rPr>
          <w:sz w:val="26"/>
          <w:szCs w:val="26"/>
          <w:lang w:val="es-MX"/>
        </w:rPr>
        <w:t xml:space="preserve">tiene una </w:t>
      </w:r>
      <w:r w:rsidR="00E57979" w:rsidRPr="00EE7190">
        <w:rPr>
          <w:sz w:val="26"/>
          <w:szCs w:val="26"/>
          <w:lang w:val="es-MX"/>
        </w:rPr>
        <w:t>manua</w:t>
      </w:r>
      <w:r w:rsidR="008379FD" w:rsidRPr="00EE7190">
        <w:rPr>
          <w:sz w:val="26"/>
          <w:szCs w:val="26"/>
          <w:lang w:val="es-MX"/>
        </w:rPr>
        <w:t xml:space="preserve">l gratuito con mayor información </w:t>
      </w:r>
      <w:r w:rsidR="00E57979" w:rsidRPr="00EE7190">
        <w:rPr>
          <w:sz w:val="26"/>
          <w:szCs w:val="26"/>
          <w:lang w:val="es-MX"/>
        </w:rPr>
        <w:t>sobre</w:t>
      </w:r>
      <w:r w:rsidR="008379FD" w:rsidRPr="00EE7190">
        <w:rPr>
          <w:sz w:val="26"/>
          <w:szCs w:val="26"/>
          <w:lang w:val="es-MX"/>
        </w:rPr>
        <w:t xml:space="preserve"> c</w:t>
      </w:r>
      <w:r w:rsidR="00E57979" w:rsidRPr="00EE7190">
        <w:rPr>
          <w:sz w:val="26"/>
          <w:szCs w:val="26"/>
          <w:lang w:val="es-MX"/>
        </w:rPr>
        <w:t>ómo presentar quejas,</w:t>
      </w:r>
      <w:r w:rsidR="00EE7190">
        <w:rPr>
          <w:sz w:val="26"/>
          <w:szCs w:val="26"/>
          <w:lang w:val="es-MX"/>
        </w:rPr>
        <w:t xml:space="preserve"> </w:t>
      </w:r>
      <w:r w:rsidR="00E57979" w:rsidRPr="00EE7190">
        <w:rPr>
          <w:sz w:val="26"/>
          <w:szCs w:val="26"/>
          <w:lang w:val="es-MX"/>
        </w:rPr>
        <w:t>el</w:t>
      </w:r>
      <w:r w:rsidR="008379FD" w:rsidRPr="00EE7190">
        <w:rPr>
          <w:sz w:val="26"/>
          <w:szCs w:val="26"/>
          <w:lang w:val="es-MX"/>
        </w:rPr>
        <w:t xml:space="preserve"> cual podemos enviarle a usted bajo una petición</w:t>
      </w:r>
      <w:r w:rsidRPr="00EE7190">
        <w:rPr>
          <w:sz w:val="26"/>
          <w:szCs w:val="26"/>
          <w:lang w:val="es-MX"/>
        </w:rPr>
        <w:t>.</w:t>
      </w:r>
      <w:r w:rsidRPr="00EE7190">
        <w:rPr>
          <w:rStyle w:val="FootnoteReference"/>
          <w:sz w:val="26"/>
          <w:szCs w:val="26"/>
          <w:lang w:val="es-MX"/>
        </w:rPr>
        <w:footnoteReference w:id="54"/>
      </w:r>
      <w:r w:rsidR="00EE7190">
        <w:rPr>
          <w:sz w:val="26"/>
          <w:szCs w:val="26"/>
          <w:lang w:val="es-MX"/>
        </w:rPr>
        <w:t xml:space="preserve"> </w:t>
      </w:r>
      <w:r w:rsidR="008379FD" w:rsidRPr="00EE7190">
        <w:rPr>
          <w:sz w:val="26"/>
          <w:szCs w:val="26"/>
          <w:lang w:val="es-MX"/>
        </w:rPr>
        <w:t>Si usted quiere presentar una demanda en contra del departamento en relación a la falta de protección a su persona de un abuso sexual, o por no responder adecuadamente a un reporte de agresión sexual o acoso,</w:t>
      </w:r>
      <w:r w:rsidR="00EE7190">
        <w:rPr>
          <w:sz w:val="26"/>
          <w:szCs w:val="26"/>
          <w:lang w:val="es-MX"/>
        </w:rPr>
        <w:t xml:space="preserve"> </w:t>
      </w:r>
      <w:r w:rsidR="008379FD" w:rsidRPr="00EE7190">
        <w:rPr>
          <w:sz w:val="26"/>
          <w:szCs w:val="26"/>
          <w:lang w:val="es-MX"/>
        </w:rPr>
        <w:t xml:space="preserve">debe primero presentar una queja y “agotarla” hasta el más alto nivel de revisión. </w:t>
      </w:r>
    </w:p>
    <w:p w:rsidR="00345A37" w:rsidRPr="00EE7190" w:rsidRDefault="00345A37" w:rsidP="001C11C0">
      <w:pPr>
        <w:ind w:firstLine="720"/>
        <w:jc w:val="both"/>
        <w:rPr>
          <w:sz w:val="26"/>
          <w:szCs w:val="26"/>
          <w:lang w:val="es-MX"/>
        </w:rPr>
      </w:pPr>
    </w:p>
    <w:p w:rsidR="00B553A9" w:rsidRPr="00EE7190" w:rsidRDefault="008379FD" w:rsidP="001C11C0">
      <w:pPr>
        <w:ind w:firstLine="720"/>
        <w:jc w:val="both"/>
        <w:rPr>
          <w:sz w:val="26"/>
          <w:szCs w:val="26"/>
          <w:lang w:val="es-MX"/>
        </w:rPr>
      </w:pPr>
      <w:r w:rsidRPr="00EE7190">
        <w:rPr>
          <w:sz w:val="26"/>
          <w:szCs w:val="26"/>
          <w:lang w:val="es-MX"/>
        </w:rPr>
        <w:t>Si usted está en un riesgo sustancial de un inminente abuso sexual u otro asunto relacionado con seguridad / o cuestión médica que requiera de una atención urgente, debe pedir un proceso de emergencia al escribir “emergencia” en la parte superior de la queja. En casos de agresión sexual, el personal debe actuar inmediatamente para iniciar procedimientos</w:t>
      </w:r>
      <w:r w:rsidR="00EE7190">
        <w:rPr>
          <w:sz w:val="26"/>
          <w:szCs w:val="26"/>
          <w:lang w:val="es-MX"/>
        </w:rPr>
        <w:t xml:space="preserve"> </w:t>
      </w:r>
      <w:r w:rsidRPr="00EE7190">
        <w:rPr>
          <w:sz w:val="26"/>
          <w:szCs w:val="26"/>
          <w:lang w:val="es-MX"/>
        </w:rPr>
        <w:t>de seguridad bajo PREA</w:t>
      </w:r>
      <w:r w:rsidR="00B553A9" w:rsidRPr="00EE7190">
        <w:rPr>
          <w:sz w:val="26"/>
          <w:szCs w:val="26"/>
          <w:lang w:val="es-MX"/>
        </w:rPr>
        <w:t>.</w:t>
      </w:r>
      <w:r w:rsidR="00B553A9" w:rsidRPr="00EE7190">
        <w:rPr>
          <w:rStyle w:val="FootnoteReference"/>
          <w:sz w:val="26"/>
          <w:szCs w:val="26"/>
          <w:lang w:val="es-MX"/>
        </w:rPr>
        <w:footnoteReference w:id="55"/>
      </w:r>
      <w:r w:rsidR="00B553A9" w:rsidRPr="00EE7190">
        <w:rPr>
          <w:sz w:val="26"/>
          <w:szCs w:val="26"/>
          <w:lang w:val="es-MX"/>
        </w:rPr>
        <w:t xml:space="preserve"> </w:t>
      </w:r>
      <w:r w:rsidR="00076AF6" w:rsidRPr="00EE7190">
        <w:rPr>
          <w:sz w:val="26"/>
          <w:szCs w:val="26"/>
          <w:lang w:val="es-MX"/>
        </w:rPr>
        <w:t xml:space="preserve">El proceso de la queja tiene límites de tiempo estrictos, pero </w:t>
      </w:r>
      <w:r w:rsidR="00076AF6" w:rsidRPr="00EE7190">
        <w:rPr>
          <w:b/>
          <w:sz w:val="26"/>
          <w:szCs w:val="26"/>
          <w:u w:val="single"/>
          <w:lang w:val="es-MX"/>
        </w:rPr>
        <w:t>no</w:t>
      </w:r>
      <w:r w:rsidR="00076AF6" w:rsidRPr="00EE7190">
        <w:rPr>
          <w:sz w:val="26"/>
          <w:szCs w:val="26"/>
          <w:lang w:val="es-MX"/>
        </w:rPr>
        <w:t xml:space="preserve"> hay límite de tiempo para presentar una apelación administrativa que alega violencia sexual o mala conducta sexual del personal</w:t>
      </w:r>
      <w:r w:rsidR="00B553A9" w:rsidRPr="00EE7190">
        <w:rPr>
          <w:sz w:val="26"/>
          <w:szCs w:val="26"/>
          <w:lang w:val="es-MX"/>
        </w:rPr>
        <w:t>.</w:t>
      </w:r>
      <w:r w:rsidR="00B553A9" w:rsidRPr="00EE7190">
        <w:rPr>
          <w:rStyle w:val="FootnoteReference"/>
          <w:sz w:val="26"/>
          <w:szCs w:val="26"/>
          <w:lang w:val="es-MX"/>
        </w:rPr>
        <w:footnoteReference w:id="56"/>
      </w:r>
      <w:r w:rsidR="00B553A9" w:rsidRPr="00EE7190">
        <w:rPr>
          <w:sz w:val="26"/>
          <w:szCs w:val="26"/>
          <w:lang w:val="es-MX"/>
        </w:rPr>
        <w:t xml:space="preserve"> </w:t>
      </w:r>
      <w:r w:rsidR="00076AF6" w:rsidRPr="00EE7190">
        <w:rPr>
          <w:sz w:val="26"/>
          <w:szCs w:val="26"/>
          <w:lang w:val="es-MX"/>
        </w:rPr>
        <w:t>Sin embargo, pueden aplicar l</w:t>
      </w:r>
      <w:r w:rsidR="00E57979" w:rsidRPr="00EE7190">
        <w:rPr>
          <w:sz w:val="26"/>
          <w:szCs w:val="26"/>
          <w:lang w:val="es-MX"/>
        </w:rPr>
        <w:t>í</w:t>
      </w:r>
      <w:r w:rsidR="00076AF6" w:rsidRPr="00EE7190">
        <w:rPr>
          <w:sz w:val="26"/>
          <w:szCs w:val="26"/>
          <w:lang w:val="es-MX"/>
        </w:rPr>
        <w:t>mites de tiempo a alguna porción de una queja que no alegue abuso sexual</w:t>
      </w:r>
      <w:r w:rsidR="00B553A9" w:rsidRPr="00EE7190">
        <w:rPr>
          <w:sz w:val="26"/>
          <w:szCs w:val="26"/>
          <w:lang w:val="es-MX"/>
        </w:rPr>
        <w:t>.</w:t>
      </w:r>
      <w:r w:rsidR="00B553A9" w:rsidRPr="00EE7190">
        <w:rPr>
          <w:rStyle w:val="FootnoteReference"/>
          <w:sz w:val="26"/>
          <w:szCs w:val="26"/>
          <w:lang w:val="es-MX"/>
        </w:rPr>
        <w:footnoteReference w:id="57"/>
      </w:r>
      <w:r w:rsidR="00B553A9" w:rsidRPr="00EE7190">
        <w:rPr>
          <w:sz w:val="26"/>
          <w:szCs w:val="26"/>
          <w:lang w:val="es-MX"/>
        </w:rPr>
        <w:t xml:space="preserve"> </w:t>
      </w:r>
    </w:p>
    <w:p w:rsidR="00345A37" w:rsidRPr="00EE7190" w:rsidRDefault="00345A37" w:rsidP="001C11C0">
      <w:pPr>
        <w:jc w:val="both"/>
        <w:rPr>
          <w:sz w:val="26"/>
          <w:szCs w:val="26"/>
          <w:lang w:val="es-MX"/>
        </w:rPr>
      </w:pPr>
    </w:p>
    <w:p w:rsidR="00B553A9" w:rsidRPr="00EE7190" w:rsidRDefault="00076AF6" w:rsidP="001C11C0">
      <w:pPr>
        <w:ind w:firstLine="720"/>
        <w:jc w:val="both"/>
        <w:rPr>
          <w:sz w:val="26"/>
          <w:szCs w:val="26"/>
          <w:lang w:val="es-MX"/>
        </w:rPr>
      </w:pPr>
      <w:r w:rsidRPr="00EE7190">
        <w:rPr>
          <w:sz w:val="26"/>
          <w:szCs w:val="26"/>
          <w:lang w:val="es-MX"/>
        </w:rPr>
        <w:t>Existen diferentes tipos de quejas. Una queja informal (Formato 802 – 11), es una queja en la el problema primero trata de ser arreglado informalmente, pero si presenta una queja en relación a un abuso sexual, la persona encarcelada puede saltar este paso</w:t>
      </w:r>
      <w:r w:rsidR="00345A37" w:rsidRPr="00EE7190">
        <w:rPr>
          <w:sz w:val="26"/>
          <w:szCs w:val="26"/>
          <w:lang w:val="es-MX"/>
        </w:rPr>
        <w:t>.</w:t>
      </w:r>
      <w:r w:rsidR="00B553A9" w:rsidRPr="00EE7190">
        <w:rPr>
          <w:rStyle w:val="FootnoteReference"/>
          <w:sz w:val="26"/>
          <w:szCs w:val="26"/>
          <w:lang w:val="es-MX"/>
        </w:rPr>
        <w:footnoteReference w:id="58"/>
      </w:r>
      <w:r w:rsidR="00B553A9" w:rsidRPr="00EE7190">
        <w:rPr>
          <w:sz w:val="26"/>
          <w:szCs w:val="26"/>
          <w:lang w:val="es-MX"/>
        </w:rPr>
        <w:t xml:space="preserve"> </w:t>
      </w:r>
      <w:r w:rsidRPr="00EE7190">
        <w:rPr>
          <w:sz w:val="26"/>
          <w:szCs w:val="26"/>
          <w:lang w:val="es-MX"/>
        </w:rPr>
        <w:t xml:space="preserve">Si el personal penitenciario no proporciona una examen médico </w:t>
      </w:r>
      <w:proofErr w:type="spellStart"/>
      <w:r w:rsidRPr="00EE7190">
        <w:rPr>
          <w:sz w:val="26"/>
          <w:szCs w:val="26"/>
          <w:lang w:val="es-MX"/>
        </w:rPr>
        <w:t>forence</w:t>
      </w:r>
      <w:proofErr w:type="spellEnd"/>
      <w:r w:rsidRPr="00EE7190">
        <w:rPr>
          <w:sz w:val="26"/>
          <w:szCs w:val="26"/>
          <w:lang w:val="es-MX"/>
        </w:rPr>
        <w:t xml:space="preserve"> apropiad</w:t>
      </w:r>
      <w:r w:rsidR="00E57979" w:rsidRPr="00EE7190">
        <w:rPr>
          <w:sz w:val="26"/>
          <w:szCs w:val="26"/>
          <w:lang w:val="es-MX"/>
        </w:rPr>
        <w:t>o</w:t>
      </w:r>
      <w:r w:rsidRPr="00EE7190">
        <w:rPr>
          <w:sz w:val="26"/>
          <w:szCs w:val="26"/>
          <w:lang w:val="es-MX"/>
        </w:rPr>
        <w:t xml:space="preserve"> o</w:t>
      </w:r>
      <w:r w:rsidR="00E57979" w:rsidRPr="00EE7190">
        <w:rPr>
          <w:sz w:val="26"/>
          <w:szCs w:val="26"/>
          <w:lang w:val="es-MX"/>
        </w:rPr>
        <w:t xml:space="preserve"> de salud</w:t>
      </w:r>
      <w:r w:rsidRPr="00EE7190">
        <w:rPr>
          <w:sz w:val="26"/>
          <w:szCs w:val="26"/>
          <w:lang w:val="es-MX"/>
        </w:rPr>
        <w:t xml:space="preserve"> medica /</w:t>
      </w:r>
      <w:r w:rsidR="00E57979" w:rsidRPr="00EE7190">
        <w:rPr>
          <w:sz w:val="26"/>
          <w:szCs w:val="26"/>
          <w:lang w:val="es-MX"/>
        </w:rPr>
        <w:t xml:space="preserve"> o </w:t>
      </w:r>
      <w:r w:rsidRPr="00EE7190">
        <w:rPr>
          <w:sz w:val="26"/>
          <w:szCs w:val="26"/>
          <w:lang w:val="es-MX"/>
        </w:rPr>
        <w:t>mental satisfactoria</w:t>
      </w:r>
      <w:r w:rsidR="00E57979" w:rsidRPr="00EE7190">
        <w:rPr>
          <w:sz w:val="26"/>
          <w:szCs w:val="26"/>
          <w:lang w:val="es-MX"/>
        </w:rPr>
        <w:t xml:space="preserve"> después de una agresión, la persona encarcelada debe presentar una queja médica</w:t>
      </w:r>
      <w:r w:rsidR="00B553A9" w:rsidRPr="00EE7190">
        <w:rPr>
          <w:sz w:val="26"/>
          <w:szCs w:val="26"/>
          <w:lang w:val="es-MX"/>
        </w:rPr>
        <w:t>.</w:t>
      </w:r>
      <w:r w:rsidR="00B553A9" w:rsidRPr="00EE7190">
        <w:rPr>
          <w:rStyle w:val="FootnoteReference"/>
          <w:sz w:val="26"/>
          <w:szCs w:val="26"/>
          <w:lang w:val="es-MX"/>
        </w:rPr>
        <w:footnoteReference w:id="59"/>
      </w:r>
      <w:r w:rsidR="00B553A9" w:rsidRPr="00EE7190">
        <w:rPr>
          <w:sz w:val="26"/>
          <w:szCs w:val="26"/>
          <w:lang w:val="es-MX"/>
        </w:rPr>
        <w:t xml:space="preserve"> </w:t>
      </w:r>
      <w:proofErr w:type="spellStart"/>
      <w:r w:rsidR="00E57979" w:rsidRPr="00EE7190">
        <w:rPr>
          <w:sz w:val="26"/>
          <w:szCs w:val="26"/>
          <w:lang w:val="es-MX"/>
        </w:rPr>
        <w:t>called</w:t>
      </w:r>
      <w:proofErr w:type="spellEnd"/>
      <w:r w:rsidR="00E57979" w:rsidRPr="00EE7190">
        <w:rPr>
          <w:sz w:val="26"/>
          <w:szCs w:val="26"/>
          <w:lang w:val="es-MX"/>
        </w:rPr>
        <w:t xml:space="preserve"> </w:t>
      </w:r>
      <w:proofErr w:type="spellStart"/>
      <w:r w:rsidR="00E57979" w:rsidRPr="00EE7190">
        <w:rPr>
          <w:sz w:val="26"/>
          <w:szCs w:val="26"/>
          <w:lang w:val="es-MX"/>
        </w:rPr>
        <w:t>an</w:t>
      </w:r>
      <w:proofErr w:type="spellEnd"/>
      <w:r w:rsidR="00E57979" w:rsidRPr="00EE7190">
        <w:rPr>
          <w:sz w:val="26"/>
          <w:szCs w:val="26"/>
          <w:lang w:val="es-MX"/>
        </w:rPr>
        <w:t xml:space="preserve"> </w:t>
      </w:r>
      <w:proofErr w:type="spellStart"/>
      <w:r w:rsidR="00E57979" w:rsidRPr="00EE7190">
        <w:rPr>
          <w:sz w:val="26"/>
          <w:szCs w:val="26"/>
          <w:lang w:val="es-MX"/>
        </w:rPr>
        <w:t>Inmate</w:t>
      </w:r>
      <w:proofErr w:type="spellEnd"/>
      <w:r w:rsidR="00E57979" w:rsidRPr="00EE7190">
        <w:rPr>
          <w:sz w:val="26"/>
          <w:szCs w:val="26"/>
          <w:lang w:val="es-MX"/>
        </w:rPr>
        <w:t xml:space="preserve"> Informal </w:t>
      </w:r>
      <w:proofErr w:type="spellStart"/>
      <w:r w:rsidR="00E57979" w:rsidRPr="00EE7190">
        <w:rPr>
          <w:sz w:val="26"/>
          <w:szCs w:val="26"/>
          <w:lang w:val="es-MX"/>
        </w:rPr>
        <w:t>Complaint</w:t>
      </w:r>
      <w:proofErr w:type="spellEnd"/>
      <w:r w:rsidR="00E57979" w:rsidRPr="00EE7190">
        <w:rPr>
          <w:sz w:val="26"/>
          <w:szCs w:val="26"/>
          <w:lang w:val="es-MX"/>
        </w:rPr>
        <w:t xml:space="preserve"> </w:t>
      </w:r>
      <w:proofErr w:type="spellStart"/>
      <w:r w:rsidR="00E57979" w:rsidRPr="00EE7190">
        <w:rPr>
          <w:sz w:val="26"/>
          <w:szCs w:val="26"/>
          <w:lang w:val="es-MX"/>
        </w:rPr>
        <w:t>Resolution</w:t>
      </w:r>
      <w:proofErr w:type="spellEnd"/>
    </w:p>
    <w:p w:rsidR="00345A37" w:rsidRPr="00EE7190" w:rsidRDefault="00345A37" w:rsidP="001C11C0">
      <w:pPr>
        <w:jc w:val="both"/>
        <w:rPr>
          <w:sz w:val="26"/>
          <w:szCs w:val="26"/>
          <w:lang w:val="es-MX"/>
        </w:rPr>
      </w:pPr>
    </w:p>
    <w:p w:rsidR="00B765E2" w:rsidRPr="00EE7190" w:rsidRDefault="00B765E2" w:rsidP="001C11C0">
      <w:pPr>
        <w:ind w:firstLine="720"/>
        <w:jc w:val="both"/>
        <w:rPr>
          <w:sz w:val="26"/>
          <w:szCs w:val="26"/>
          <w:lang w:val="es-MX"/>
        </w:rPr>
      </w:pPr>
      <w:r w:rsidRPr="00EE7190">
        <w:rPr>
          <w:sz w:val="26"/>
          <w:szCs w:val="26"/>
          <w:lang w:val="es-MX"/>
        </w:rPr>
        <w:t>Es muy importante para una persona encarcelada presentar quejas y las vuelva a presentar hasta el más alto nivel necesario cuando los oficiales penitenciarios no responden apropiadamente a las quejas sobre abuso sexual. Una queja puede ser la manera</w:t>
      </w:r>
      <w:r w:rsidR="00EE7190">
        <w:rPr>
          <w:sz w:val="26"/>
          <w:szCs w:val="26"/>
          <w:lang w:val="es-MX"/>
        </w:rPr>
        <w:t xml:space="preserve"> </w:t>
      </w:r>
      <w:r w:rsidRPr="00EE7190">
        <w:rPr>
          <w:sz w:val="26"/>
          <w:szCs w:val="26"/>
          <w:lang w:val="es-MX"/>
        </w:rPr>
        <w:t xml:space="preserve">más rápida y confiable para conseguir que los oficiales penitenciarios actúen. También una persona encarcelada </w:t>
      </w:r>
      <w:r w:rsidR="008C0574" w:rsidRPr="00EE7190">
        <w:rPr>
          <w:sz w:val="26"/>
          <w:szCs w:val="26"/>
          <w:lang w:val="es-MX"/>
        </w:rPr>
        <w:t>generalmente</w:t>
      </w:r>
      <w:r w:rsidRPr="00EE7190">
        <w:rPr>
          <w:sz w:val="26"/>
          <w:szCs w:val="26"/>
          <w:lang w:val="es-MX"/>
        </w:rPr>
        <w:t xml:space="preserve"> </w:t>
      </w:r>
      <w:r w:rsidR="008C0574" w:rsidRPr="00EE7190">
        <w:rPr>
          <w:sz w:val="26"/>
          <w:szCs w:val="26"/>
          <w:lang w:val="es-MX"/>
        </w:rPr>
        <w:t>tendrá que completar el procedimiento de queja ( o al menos hacer los mejores esfuerzos para hacerlo) antes de tomar otro tipo de acciones para abordar el problema. Otros órganos investigadores y los tribunales pueden rehusarse a abordar las reclamaciones de personas encarceladas si el preso no ha “agotado los remedios administrativos” al completar el proceso de queja.</w:t>
      </w:r>
    </w:p>
    <w:p w:rsidR="00345A37" w:rsidRPr="00EE7190" w:rsidRDefault="00345A37" w:rsidP="001C11C0">
      <w:pPr>
        <w:ind w:firstLine="720"/>
        <w:jc w:val="both"/>
        <w:rPr>
          <w:sz w:val="26"/>
          <w:szCs w:val="26"/>
          <w:lang w:val="es-MX"/>
        </w:rPr>
      </w:pPr>
    </w:p>
    <w:p w:rsidR="00345A37" w:rsidRPr="00EE7190" w:rsidRDefault="00B553A9" w:rsidP="001C11C0">
      <w:pPr>
        <w:pStyle w:val="Heading2"/>
        <w:ind w:left="720"/>
        <w:jc w:val="both"/>
        <w:rPr>
          <w:rFonts w:ascii="Times New Roman" w:hAnsi="Times New Roman" w:cs="Times New Roman"/>
          <w:b/>
          <w:lang w:val="es-MX"/>
        </w:rPr>
      </w:pPr>
      <w:bookmarkStart w:id="19" w:name="_Toc11662508"/>
      <w:bookmarkStart w:id="20" w:name="_Toc11662670"/>
      <w:r w:rsidRPr="00EE7190">
        <w:rPr>
          <w:rFonts w:ascii="Times New Roman" w:hAnsi="Times New Roman" w:cs="Times New Roman"/>
          <w:b/>
          <w:bCs/>
          <w:color w:val="auto"/>
          <w:lang w:val="es-MX"/>
        </w:rPr>
        <w:t>B.</w:t>
      </w:r>
      <w:r w:rsidRPr="00EE7190">
        <w:rPr>
          <w:rFonts w:ascii="Times New Roman" w:hAnsi="Times New Roman" w:cs="Times New Roman"/>
          <w:b/>
          <w:bCs/>
          <w:color w:val="auto"/>
          <w:lang w:val="es-MX"/>
        </w:rPr>
        <w:tab/>
      </w:r>
      <w:r w:rsidR="008C0574" w:rsidRPr="00EE7190">
        <w:rPr>
          <w:rFonts w:ascii="Times New Roman" w:hAnsi="Times New Roman" w:cs="Times New Roman"/>
          <w:b/>
          <w:bCs/>
          <w:color w:val="auto"/>
          <w:lang w:val="es-MX"/>
        </w:rPr>
        <w:t xml:space="preserve">Pedir Otro Tipo de Asistencia o Investigaciones </w:t>
      </w:r>
      <w:bookmarkEnd w:id="19"/>
      <w:bookmarkEnd w:id="20"/>
    </w:p>
    <w:p w:rsidR="00B553A9" w:rsidRPr="00EE7190" w:rsidRDefault="008C0574" w:rsidP="001C11C0">
      <w:pPr>
        <w:ind w:firstLine="720"/>
        <w:jc w:val="both"/>
        <w:rPr>
          <w:sz w:val="26"/>
          <w:szCs w:val="26"/>
          <w:lang w:val="es-MX"/>
        </w:rPr>
      </w:pPr>
      <w:r w:rsidRPr="00EE7190">
        <w:rPr>
          <w:sz w:val="26"/>
          <w:szCs w:val="26"/>
          <w:lang w:val="es-MX"/>
        </w:rPr>
        <w:t>Si el personal de la institución no responde adecuadamente a las quejas, usted puede</w:t>
      </w:r>
      <w:r w:rsidR="00EE7190">
        <w:rPr>
          <w:sz w:val="26"/>
          <w:szCs w:val="26"/>
          <w:lang w:val="es-MX"/>
        </w:rPr>
        <w:t xml:space="preserve"> </w:t>
      </w:r>
      <w:r w:rsidRPr="00EE7190">
        <w:rPr>
          <w:sz w:val="26"/>
          <w:szCs w:val="26"/>
          <w:lang w:val="es-MX"/>
        </w:rPr>
        <w:t>escribir a la Oficina del Inspector General (OIG) de ADC por medio de una carta de interno o correspondencia confidencial a:</w:t>
      </w:r>
      <w:r w:rsidR="002C4DE0" w:rsidRPr="00EE7190">
        <w:rPr>
          <w:sz w:val="26"/>
          <w:szCs w:val="26"/>
          <w:lang w:val="es-MX"/>
        </w:rPr>
        <w:t xml:space="preserve"> 1601 West Jefferson Street, Phoenix, AZ 85007. </w:t>
      </w:r>
      <w:r w:rsidRPr="00EE7190">
        <w:rPr>
          <w:sz w:val="26"/>
          <w:szCs w:val="26"/>
          <w:lang w:val="es-MX"/>
        </w:rPr>
        <w:t>Su número telefónico es</w:t>
      </w:r>
      <w:r w:rsidR="002C4DE0" w:rsidRPr="00EE7190">
        <w:rPr>
          <w:sz w:val="26"/>
          <w:szCs w:val="26"/>
          <w:lang w:val="es-MX"/>
        </w:rPr>
        <w:t xml:space="preserve"> 602-542-1160.</w:t>
      </w:r>
    </w:p>
    <w:p w:rsidR="00B553A9" w:rsidRPr="00EE7190" w:rsidRDefault="00B553A9" w:rsidP="001C11C0">
      <w:pPr>
        <w:pStyle w:val="BiABC0"/>
        <w:jc w:val="both"/>
        <w:outlineLvl w:val="1"/>
        <w:rPr>
          <w:sz w:val="26"/>
          <w:szCs w:val="26"/>
          <w:lang w:val="es-MX"/>
        </w:rPr>
      </w:pPr>
      <w:bookmarkStart w:id="21" w:name="_Toc11662509"/>
      <w:bookmarkStart w:id="22" w:name="_Toc11662671"/>
      <w:r w:rsidRPr="00EE7190">
        <w:rPr>
          <w:sz w:val="26"/>
          <w:szCs w:val="26"/>
          <w:lang w:val="es-MX"/>
        </w:rPr>
        <w:t>C.</w:t>
      </w:r>
      <w:r w:rsidRPr="00EE7190">
        <w:rPr>
          <w:sz w:val="26"/>
          <w:szCs w:val="26"/>
          <w:lang w:val="es-MX"/>
        </w:rPr>
        <w:tab/>
      </w:r>
      <w:r w:rsidR="008C0574" w:rsidRPr="00EE7190">
        <w:rPr>
          <w:sz w:val="26"/>
          <w:szCs w:val="26"/>
          <w:lang w:val="es-MX"/>
        </w:rPr>
        <w:t>Presentar una Demanda en el Tribunal Estatal o Federal</w:t>
      </w:r>
      <w:bookmarkEnd w:id="21"/>
      <w:bookmarkEnd w:id="22"/>
    </w:p>
    <w:p w:rsidR="008C0574" w:rsidRPr="00EE7190" w:rsidRDefault="008C0574" w:rsidP="001C11C0">
      <w:pPr>
        <w:ind w:firstLine="720"/>
        <w:jc w:val="both"/>
        <w:rPr>
          <w:sz w:val="26"/>
          <w:szCs w:val="26"/>
          <w:lang w:val="es-MX"/>
        </w:rPr>
      </w:pPr>
      <w:r w:rsidRPr="00EE7190">
        <w:rPr>
          <w:sz w:val="26"/>
          <w:szCs w:val="26"/>
          <w:lang w:val="es-MX"/>
        </w:rPr>
        <w:t>Una persona encarcelada puede presentar acciones judiciales para obligar a los funcionarios penitenciarios o hacer algo o dejar de hacerlo (llamado “alivio cautelar”). Por ejemplo, usted pued</w:t>
      </w:r>
      <w:r w:rsidR="009E233F" w:rsidRPr="00EE7190">
        <w:rPr>
          <w:sz w:val="26"/>
          <w:szCs w:val="26"/>
          <w:lang w:val="es-MX"/>
        </w:rPr>
        <w:t>e</w:t>
      </w:r>
      <w:r w:rsidRPr="00EE7190">
        <w:rPr>
          <w:sz w:val="26"/>
          <w:szCs w:val="26"/>
          <w:lang w:val="es-MX"/>
        </w:rPr>
        <w:t xml:space="preserve"> solicitar que los funcionarios penitenciarios</w:t>
      </w:r>
      <w:r w:rsidR="00EE7190">
        <w:rPr>
          <w:sz w:val="26"/>
          <w:szCs w:val="26"/>
          <w:lang w:val="es-MX"/>
        </w:rPr>
        <w:t xml:space="preserve"> </w:t>
      </w:r>
      <w:r w:rsidR="009E233F" w:rsidRPr="00EE7190">
        <w:rPr>
          <w:sz w:val="26"/>
          <w:szCs w:val="26"/>
          <w:lang w:val="es-MX"/>
        </w:rPr>
        <w:t>lo transfieran a un alojamiento</w:t>
      </w:r>
      <w:r w:rsidR="00EE7190">
        <w:rPr>
          <w:sz w:val="26"/>
          <w:szCs w:val="26"/>
          <w:lang w:val="es-MX"/>
        </w:rPr>
        <w:t xml:space="preserve"> </w:t>
      </w:r>
      <w:r w:rsidR="009E233F" w:rsidRPr="00EE7190">
        <w:rPr>
          <w:sz w:val="26"/>
          <w:szCs w:val="26"/>
          <w:lang w:val="es-MX"/>
        </w:rPr>
        <w:t>diferente para prevenir un</w:t>
      </w:r>
      <w:r w:rsidR="00EE7190">
        <w:rPr>
          <w:sz w:val="26"/>
          <w:szCs w:val="26"/>
          <w:lang w:val="es-MX"/>
        </w:rPr>
        <w:t xml:space="preserve"> </w:t>
      </w:r>
      <w:r w:rsidR="009E233F" w:rsidRPr="00EE7190">
        <w:rPr>
          <w:sz w:val="26"/>
          <w:szCs w:val="26"/>
          <w:lang w:val="es-MX"/>
        </w:rPr>
        <w:t>abuso sexual futuro, darle atención médica o de salud mental por abuso sexual previo, dar seguimiento a sus procedimientos para investigar el abuso sexual, o tomar acciones para castigar a un preso o miembro del personal que cometió el abuso sexual. Una persona encarcelada puede pedir a un tribunal que</w:t>
      </w:r>
      <w:r w:rsidR="00EE7190">
        <w:rPr>
          <w:sz w:val="26"/>
          <w:szCs w:val="26"/>
          <w:lang w:val="es-MX"/>
        </w:rPr>
        <w:t xml:space="preserve"> </w:t>
      </w:r>
      <w:r w:rsidR="009E233F" w:rsidRPr="00EE7190">
        <w:rPr>
          <w:sz w:val="26"/>
          <w:szCs w:val="26"/>
          <w:lang w:val="es-MX"/>
        </w:rPr>
        <w:t>emita una orden judicial preliminar para hacer que los funcionarios penitenciarios proporcionen un alojamiento seguro o tomen algunas otras acciones inmediatas durante el tiempo en que el caso está pendiente en el tribunal.</w:t>
      </w:r>
    </w:p>
    <w:p w:rsidR="002C4DE0" w:rsidRPr="00EE7190" w:rsidRDefault="002C4DE0" w:rsidP="001C11C0">
      <w:pPr>
        <w:ind w:firstLine="720"/>
        <w:jc w:val="both"/>
        <w:rPr>
          <w:sz w:val="26"/>
          <w:szCs w:val="26"/>
          <w:lang w:val="es-MX"/>
        </w:rPr>
      </w:pPr>
    </w:p>
    <w:p w:rsidR="002C4DE0" w:rsidRPr="00EE7190" w:rsidRDefault="009E233F" w:rsidP="001C11C0">
      <w:pPr>
        <w:ind w:firstLine="720"/>
        <w:jc w:val="both"/>
        <w:rPr>
          <w:sz w:val="26"/>
          <w:szCs w:val="26"/>
          <w:lang w:val="es-MX"/>
        </w:rPr>
      </w:pPr>
      <w:r w:rsidRPr="00EE7190">
        <w:rPr>
          <w:sz w:val="26"/>
          <w:szCs w:val="26"/>
          <w:lang w:val="es-MX"/>
        </w:rPr>
        <w:t>Dos tipos de acciones que una persona encarcelada puede usar para</w:t>
      </w:r>
      <w:r w:rsidR="00EE7190">
        <w:rPr>
          <w:sz w:val="26"/>
          <w:szCs w:val="26"/>
          <w:lang w:val="es-MX"/>
        </w:rPr>
        <w:t xml:space="preserve"> </w:t>
      </w:r>
      <w:r w:rsidRPr="00EE7190">
        <w:rPr>
          <w:sz w:val="26"/>
          <w:szCs w:val="26"/>
          <w:lang w:val="es-MX"/>
        </w:rPr>
        <w:t>buscar medidas cautelares o monetarias son los reclamos de agravio de la ley estatal o demandas federales</w:t>
      </w:r>
      <w:r w:rsidR="00EE7190">
        <w:rPr>
          <w:sz w:val="26"/>
          <w:szCs w:val="26"/>
          <w:lang w:val="es-MX"/>
        </w:rPr>
        <w:t xml:space="preserve"> </w:t>
      </w:r>
      <w:r w:rsidRPr="00EE7190">
        <w:rPr>
          <w:sz w:val="26"/>
          <w:szCs w:val="26"/>
          <w:lang w:val="es-MX"/>
        </w:rPr>
        <w:t>de derechos civiles (Sección 1983) Existen leyes estatales de Arizona que limitan el derecho de las personas encarceladas a demandar a ADC</w:t>
      </w:r>
      <w:r w:rsidR="002C4DE0" w:rsidRPr="00EE7190">
        <w:rPr>
          <w:sz w:val="26"/>
          <w:szCs w:val="26"/>
          <w:lang w:val="es-MX"/>
        </w:rPr>
        <w:t>.</w:t>
      </w:r>
      <w:r w:rsidR="002C4DE0" w:rsidRPr="00EE7190">
        <w:rPr>
          <w:rStyle w:val="FootnoteReference"/>
          <w:sz w:val="26"/>
          <w:szCs w:val="26"/>
          <w:lang w:val="es-MX"/>
        </w:rPr>
        <w:footnoteReference w:id="60"/>
      </w:r>
      <w:r w:rsidR="002C4DE0" w:rsidRPr="00EE7190">
        <w:rPr>
          <w:sz w:val="26"/>
          <w:szCs w:val="26"/>
          <w:lang w:val="es-MX"/>
        </w:rPr>
        <w:t xml:space="preserve"> </w:t>
      </w:r>
      <w:r w:rsidRPr="00EE7190">
        <w:rPr>
          <w:sz w:val="26"/>
          <w:szCs w:val="26"/>
          <w:lang w:val="es-MX"/>
        </w:rPr>
        <w:t>Además los empleados</w:t>
      </w:r>
      <w:r w:rsidR="00A558CC" w:rsidRPr="00EE7190">
        <w:rPr>
          <w:sz w:val="26"/>
          <w:szCs w:val="26"/>
          <w:lang w:val="es-MX"/>
        </w:rPr>
        <w:t xml:space="preserve"> suelen tener algunas formas de inmunidad que les impide</w:t>
      </w:r>
      <w:r w:rsidR="00EE7190">
        <w:rPr>
          <w:sz w:val="26"/>
          <w:szCs w:val="26"/>
          <w:lang w:val="es-MX"/>
        </w:rPr>
        <w:t xml:space="preserve"> </w:t>
      </w:r>
      <w:r w:rsidR="00A558CC" w:rsidRPr="00EE7190">
        <w:rPr>
          <w:sz w:val="26"/>
          <w:szCs w:val="26"/>
          <w:lang w:val="es-MX"/>
        </w:rPr>
        <w:t>ser demandados</w:t>
      </w:r>
      <w:r w:rsidR="002C4DE0" w:rsidRPr="00EE7190">
        <w:rPr>
          <w:sz w:val="26"/>
          <w:szCs w:val="26"/>
          <w:lang w:val="es-MX"/>
        </w:rPr>
        <w:t>.</w:t>
      </w:r>
      <w:r w:rsidR="002C4DE0" w:rsidRPr="00EE7190">
        <w:rPr>
          <w:rStyle w:val="FootnoteReference"/>
          <w:sz w:val="26"/>
          <w:szCs w:val="26"/>
          <w:lang w:val="es-MX"/>
        </w:rPr>
        <w:footnoteReference w:id="61"/>
      </w:r>
      <w:r w:rsidR="00EE7190">
        <w:rPr>
          <w:sz w:val="26"/>
          <w:szCs w:val="26"/>
          <w:lang w:val="es-MX"/>
        </w:rPr>
        <w:t xml:space="preserve"> </w:t>
      </w:r>
      <w:r w:rsidR="00A558CC" w:rsidRPr="00EE7190">
        <w:rPr>
          <w:sz w:val="26"/>
          <w:szCs w:val="26"/>
          <w:lang w:val="es-MX"/>
        </w:rPr>
        <w:t xml:space="preserve">Por ejemplo, un empleado estatal ha calificado para inmunidad de los cargos monetarios </w:t>
      </w:r>
      <w:r w:rsidR="00A558CC" w:rsidRPr="00EE7190">
        <w:rPr>
          <w:sz w:val="26"/>
          <w:szCs w:val="26"/>
          <w:lang w:val="es-MX"/>
        </w:rPr>
        <w:lastRenderedPageBreak/>
        <w:t>por “una lesión causada por un preso a cualquier otro preso….</w:t>
      </w:r>
      <w:r w:rsidR="002C4DE0" w:rsidRPr="00EE7190">
        <w:rPr>
          <w:sz w:val="26"/>
          <w:szCs w:val="26"/>
          <w:lang w:val="es-MX"/>
        </w:rPr>
        <w:t>.”</w:t>
      </w:r>
      <w:r w:rsidR="002C4DE0" w:rsidRPr="00EE7190">
        <w:rPr>
          <w:rStyle w:val="FootnoteReference"/>
          <w:sz w:val="26"/>
          <w:szCs w:val="26"/>
          <w:lang w:val="es-MX"/>
        </w:rPr>
        <w:footnoteReference w:id="62"/>
      </w:r>
      <w:r w:rsidR="002C4DE0" w:rsidRPr="00EE7190">
        <w:rPr>
          <w:sz w:val="26"/>
          <w:szCs w:val="26"/>
          <w:lang w:val="es-MX"/>
        </w:rPr>
        <w:t xml:space="preserve"> </w:t>
      </w:r>
      <w:r w:rsidR="00A558CC" w:rsidRPr="00EE7190">
        <w:rPr>
          <w:sz w:val="26"/>
          <w:szCs w:val="26"/>
          <w:lang w:val="es-MX"/>
        </w:rPr>
        <w:t>Sin embargo,</w:t>
      </w:r>
      <w:r w:rsidR="006D67EB" w:rsidRPr="00EE7190">
        <w:rPr>
          <w:sz w:val="26"/>
          <w:szCs w:val="26"/>
          <w:lang w:val="es-MX"/>
        </w:rPr>
        <w:t xml:space="preserve"> </w:t>
      </w:r>
      <w:r w:rsidR="00A558CC" w:rsidRPr="00EE7190">
        <w:rPr>
          <w:sz w:val="26"/>
          <w:szCs w:val="26"/>
          <w:lang w:val="es-MX"/>
        </w:rPr>
        <w:t>esta inmunidad no aplica en los casos de medidas cautelares</w:t>
      </w:r>
      <w:r w:rsidR="002C4DE0" w:rsidRPr="00EE7190">
        <w:rPr>
          <w:sz w:val="26"/>
          <w:szCs w:val="26"/>
          <w:lang w:val="es-MX"/>
        </w:rPr>
        <w:t>.</w:t>
      </w:r>
      <w:r w:rsidR="002C4DE0" w:rsidRPr="00EE7190">
        <w:rPr>
          <w:rStyle w:val="FootnoteReference"/>
          <w:sz w:val="26"/>
          <w:szCs w:val="26"/>
          <w:lang w:val="es-MX"/>
        </w:rPr>
        <w:footnoteReference w:id="63"/>
      </w:r>
      <w:r w:rsidR="00EE7190">
        <w:rPr>
          <w:sz w:val="26"/>
          <w:szCs w:val="26"/>
          <w:lang w:val="es-MX"/>
        </w:rPr>
        <w:t xml:space="preserve"> </w:t>
      </w:r>
      <w:r w:rsidR="00A558CC" w:rsidRPr="00EE7190">
        <w:rPr>
          <w:sz w:val="26"/>
          <w:szCs w:val="26"/>
          <w:lang w:val="es-MX"/>
        </w:rPr>
        <w:t>Desafortunadamente no hay d</w:t>
      </w:r>
      <w:r w:rsidR="006F115C" w:rsidRPr="00EE7190">
        <w:rPr>
          <w:sz w:val="26"/>
          <w:szCs w:val="26"/>
          <w:lang w:val="es-MX"/>
        </w:rPr>
        <w:t>e</w:t>
      </w:r>
      <w:r w:rsidR="00A558CC" w:rsidRPr="00EE7190">
        <w:rPr>
          <w:sz w:val="26"/>
          <w:szCs w:val="26"/>
          <w:lang w:val="es-MX"/>
        </w:rPr>
        <w:t>recho a un abogado en un procedimiento civil en Arizona.</w:t>
      </w:r>
      <w:r w:rsidR="00B553A9" w:rsidRPr="00EE7190">
        <w:rPr>
          <w:rStyle w:val="FootnoteReference"/>
          <w:sz w:val="26"/>
          <w:szCs w:val="26"/>
          <w:lang w:val="es-MX"/>
        </w:rPr>
        <w:footnoteReference w:id="64"/>
      </w:r>
      <w:r w:rsidR="00B553A9" w:rsidRPr="00EE7190">
        <w:rPr>
          <w:sz w:val="26"/>
          <w:szCs w:val="26"/>
          <w:lang w:val="es-MX"/>
        </w:rPr>
        <w:t xml:space="preserve"> </w:t>
      </w:r>
    </w:p>
    <w:p w:rsidR="00B553A9" w:rsidRPr="00EE7190" w:rsidRDefault="00B553A9" w:rsidP="001C11C0">
      <w:pPr>
        <w:ind w:firstLine="720"/>
        <w:jc w:val="both"/>
        <w:rPr>
          <w:sz w:val="26"/>
          <w:szCs w:val="26"/>
          <w:lang w:val="es-MX"/>
        </w:rPr>
      </w:pPr>
    </w:p>
    <w:p w:rsidR="00B553A9" w:rsidRPr="00EE7190" w:rsidRDefault="002C4DE0" w:rsidP="001C11C0">
      <w:pPr>
        <w:autoSpaceDE w:val="0"/>
        <w:autoSpaceDN w:val="0"/>
        <w:adjustRightInd w:val="0"/>
        <w:jc w:val="both"/>
        <w:rPr>
          <w:sz w:val="26"/>
          <w:szCs w:val="26"/>
          <w:lang w:val="es-MX"/>
        </w:rPr>
      </w:pPr>
      <w:r w:rsidRPr="00EE7190">
        <w:rPr>
          <w:sz w:val="26"/>
          <w:szCs w:val="26"/>
          <w:lang w:val="es-MX"/>
        </w:rPr>
        <w:tab/>
      </w:r>
      <w:r w:rsidR="00A558CC" w:rsidRPr="00EE7190">
        <w:rPr>
          <w:sz w:val="26"/>
          <w:szCs w:val="26"/>
          <w:lang w:val="es-MX"/>
        </w:rPr>
        <w:t xml:space="preserve">Presentar y litigar una demanda sin un abogado es muy difícil, </w:t>
      </w:r>
      <w:proofErr w:type="spellStart"/>
      <w:r w:rsidR="00A558CC" w:rsidRPr="00EE7190">
        <w:rPr>
          <w:sz w:val="26"/>
          <w:szCs w:val="26"/>
          <w:lang w:val="es-MX"/>
        </w:rPr>
        <w:t>asi</w:t>
      </w:r>
      <w:proofErr w:type="spellEnd"/>
      <w:r w:rsidR="00A558CC" w:rsidRPr="00EE7190">
        <w:rPr>
          <w:sz w:val="26"/>
          <w:szCs w:val="26"/>
          <w:lang w:val="es-MX"/>
        </w:rPr>
        <w:t xml:space="preserve"> que debería siempre tratar de encontrar un abogado. Hay</w:t>
      </w:r>
      <w:r w:rsidR="00EE7190">
        <w:rPr>
          <w:sz w:val="26"/>
          <w:szCs w:val="26"/>
          <w:lang w:val="es-MX"/>
        </w:rPr>
        <w:t xml:space="preserve"> </w:t>
      </w:r>
      <w:r w:rsidR="00A558CC" w:rsidRPr="00EE7190">
        <w:rPr>
          <w:sz w:val="26"/>
          <w:szCs w:val="26"/>
          <w:lang w:val="es-MX"/>
        </w:rPr>
        <w:t xml:space="preserve">plazos importantes para este tipo de casos. </w:t>
      </w:r>
      <w:proofErr w:type="spellStart"/>
      <w:r w:rsidR="00A558CC" w:rsidRPr="00EE7190">
        <w:rPr>
          <w:sz w:val="26"/>
          <w:szCs w:val="26"/>
          <w:lang w:val="es-MX"/>
        </w:rPr>
        <w:t>Prison</w:t>
      </w:r>
      <w:proofErr w:type="spellEnd"/>
      <w:r w:rsidR="00A558CC" w:rsidRPr="00EE7190">
        <w:rPr>
          <w:sz w:val="26"/>
          <w:szCs w:val="26"/>
          <w:lang w:val="es-MX"/>
        </w:rPr>
        <w:t xml:space="preserve"> </w:t>
      </w:r>
      <w:proofErr w:type="spellStart"/>
      <w:r w:rsidR="00A558CC" w:rsidRPr="00EE7190">
        <w:rPr>
          <w:sz w:val="26"/>
          <w:szCs w:val="26"/>
          <w:lang w:val="es-MX"/>
        </w:rPr>
        <w:t>Law</w:t>
      </w:r>
      <w:proofErr w:type="spellEnd"/>
      <w:r w:rsidR="00A558CC" w:rsidRPr="00EE7190">
        <w:rPr>
          <w:sz w:val="26"/>
          <w:szCs w:val="26"/>
          <w:lang w:val="es-MX"/>
        </w:rPr>
        <w:t xml:space="preserve"> Of</w:t>
      </w:r>
      <w:r w:rsidR="00BA2091" w:rsidRPr="00EE7190">
        <w:rPr>
          <w:sz w:val="26"/>
          <w:szCs w:val="26"/>
          <w:lang w:val="es-MX"/>
        </w:rPr>
        <w:t>f</w:t>
      </w:r>
      <w:r w:rsidR="00A558CC" w:rsidRPr="00EE7190">
        <w:rPr>
          <w:sz w:val="26"/>
          <w:szCs w:val="26"/>
          <w:lang w:val="es-MX"/>
        </w:rPr>
        <w:t>ice no puede representarlo. A petición, solo podemos darle una lista de los abogados que han presentado demandas</w:t>
      </w:r>
      <w:r w:rsidR="00BA2091" w:rsidRPr="00EE7190">
        <w:rPr>
          <w:sz w:val="26"/>
          <w:szCs w:val="26"/>
          <w:lang w:val="es-MX"/>
        </w:rPr>
        <w:t xml:space="preserve"> individuales contra ADC y / o </w:t>
      </w:r>
      <w:proofErr w:type="spellStart"/>
      <w:r w:rsidR="00BA2091" w:rsidRPr="00EE7190">
        <w:rPr>
          <w:sz w:val="26"/>
          <w:szCs w:val="26"/>
          <w:lang w:val="es-MX"/>
        </w:rPr>
        <w:t>Corizon</w:t>
      </w:r>
      <w:proofErr w:type="spellEnd"/>
      <w:r w:rsidR="00BA2091" w:rsidRPr="00EE7190">
        <w:rPr>
          <w:sz w:val="26"/>
          <w:szCs w:val="26"/>
          <w:lang w:val="es-MX"/>
        </w:rPr>
        <w:t xml:space="preserve"> en el pasado. </w:t>
      </w:r>
      <w:proofErr w:type="spellStart"/>
      <w:r w:rsidR="00BA2091" w:rsidRPr="00EE7190">
        <w:rPr>
          <w:sz w:val="26"/>
          <w:szCs w:val="26"/>
          <w:lang w:val="es-MX"/>
        </w:rPr>
        <w:t>Tambien</w:t>
      </w:r>
      <w:proofErr w:type="spellEnd"/>
      <w:r w:rsidR="00EE7190">
        <w:rPr>
          <w:sz w:val="26"/>
          <w:szCs w:val="26"/>
          <w:lang w:val="es-MX"/>
        </w:rPr>
        <w:t xml:space="preserve"> </w:t>
      </w:r>
      <w:r w:rsidR="00BA2091" w:rsidRPr="00EE7190">
        <w:rPr>
          <w:sz w:val="26"/>
          <w:szCs w:val="26"/>
          <w:lang w:val="es-MX"/>
        </w:rPr>
        <w:t xml:space="preserve">a petición, </w:t>
      </w:r>
      <w:proofErr w:type="spellStart"/>
      <w:r w:rsidR="00BA2091" w:rsidRPr="00EE7190">
        <w:rPr>
          <w:sz w:val="26"/>
          <w:szCs w:val="26"/>
          <w:lang w:val="es-MX"/>
        </w:rPr>
        <w:t>Prison</w:t>
      </w:r>
      <w:proofErr w:type="spellEnd"/>
      <w:r w:rsidR="00BA2091" w:rsidRPr="00EE7190">
        <w:rPr>
          <w:sz w:val="26"/>
          <w:szCs w:val="26"/>
          <w:lang w:val="es-MX"/>
        </w:rPr>
        <w:t xml:space="preserve"> </w:t>
      </w:r>
      <w:proofErr w:type="spellStart"/>
      <w:r w:rsidR="00BA2091" w:rsidRPr="00EE7190">
        <w:rPr>
          <w:sz w:val="26"/>
          <w:szCs w:val="26"/>
          <w:lang w:val="es-MX"/>
        </w:rPr>
        <w:t>Law</w:t>
      </w:r>
      <w:proofErr w:type="spellEnd"/>
      <w:r w:rsidR="00BA2091" w:rsidRPr="00EE7190">
        <w:rPr>
          <w:sz w:val="26"/>
          <w:szCs w:val="26"/>
          <w:lang w:val="es-MX"/>
        </w:rPr>
        <w:t xml:space="preserve"> Office puede proporcionar una manual gratuito publicado por el Fiscal General de Arizona sobre las demandas de agencias estatales</w:t>
      </w:r>
      <w:r w:rsidR="00EE7190">
        <w:rPr>
          <w:sz w:val="26"/>
          <w:szCs w:val="26"/>
          <w:lang w:val="es-MX"/>
        </w:rPr>
        <w:t xml:space="preserve"> </w:t>
      </w:r>
      <w:r w:rsidR="00BA2091" w:rsidRPr="00EE7190">
        <w:rPr>
          <w:sz w:val="26"/>
          <w:szCs w:val="26"/>
          <w:lang w:val="es-MX"/>
        </w:rPr>
        <w:t xml:space="preserve">el manual también está disponible en </w:t>
      </w:r>
      <w:hyperlink r:id="rId12" w:history="1">
        <w:r w:rsidR="00FE6CF5" w:rsidRPr="00EE7190">
          <w:rPr>
            <w:rStyle w:val="Hyperlink"/>
            <w:sz w:val="26"/>
            <w:szCs w:val="26"/>
            <w:lang w:val="es-MX"/>
          </w:rPr>
          <w:t>https://www.azag.gov/outreach/publications/agency-handbook</w:t>
        </w:r>
      </w:hyperlink>
      <w:r w:rsidR="00FE6CF5" w:rsidRPr="00EE7190">
        <w:rPr>
          <w:sz w:val="26"/>
          <w:szCs w:val="26"/>
          <w:lang w:val="es-MX"/>
        </w:rPr>
        <w:t xml:space="preserve"> </w:t>
      </w:r>
      <w:proofErr w:type="spellStart"/>
      <w:r w:rsidR="00FE6CF5" w:rsidRPr="00EE7190">
        <w:rPr>
          <w:sz w:val="26"/>
          <w:szCs w:val="26"/>
          <w:lang w:val="es-MX"/>
        </w:rPr>
        <w:t>or</w:t>
      </w:r>
      <w:proofErr w:type="spellEnd"/>
      <w:r w:rsidRPr="00EE7190">
        <w:rPr>
          <w:sz w:val="26"/>
          <w:szCs w:val="26"/>
          <w:lang w:val="es-MX"/>
        </w:rPr>
        <w:t xml:space="preserve"> </w:t>
      </w:r>
      <w:hyperlink r:id="rId13" w:history="1">
        <w:r w:rsidRPr="00EE7190">
          <w:rPr>
            <w:rStyle w:val="Hyperlink"/>
            <w:sz w:val="26"/>
            <w:szCs w:val="26"/>
            <w:lang w:val="es-MX"/>
          </w:rPr>
          <w:t>www.prisonlaw.com</w:t>
        </w:r>
      </w:hyperlink>
      <w:r w:rsidRPr="00EE7190">
        <w:rPr>
          <w:sz w:val="26"/>
          <w:szCs w:val="26"/>
          <w:lang w:val="es-MX"/>
        </w:rPr>
        <w:t>.</w:t>
      </w:r>
      <w:r w:rsidR="00EE7190">
        <w:rPr>
          <w:sz w:val="26"/>
          <w:szCs w:val="26"/>
          <w:lang w:val="es-MX"/>
        </w:rPr>
        <w:t xml:space="preserve"> </w:t>
      </w:r>
      <w:r w:rsidR="00BA2091" w:rsidRPr="00EE7190">
        <w:rPr>
          <w:sz w:val="26"/>
          <w:szCs w:val="26"/>
          <w:lang w:val="es-MX"/>
        </w:rPr>
        <w:t>También podemos enviarle un folleto publicado por</w:t>
      </w:r>
      <w:r w:rsidR="00EE7190">
        <w:rPr>
          <w:sz w:val="26"/>
          <w:szCs w:val="26"/>
          <w:lang w:val="es-MX"/>
        </w:rPr>
        <w:t xml:space="preserve"> </w:t>
      </w:r>
      <w:r w:rsidR="00BA2091" w:rsidRPr="00EE7190">
        <w:rPr>
          <w:sz w:val="26"/>
          <w:szCs w:val="26"/>
          <w:lang w:val="es-MX"/>
        </w:rPr>
        <w:t xml:space="preserve">el tribunal federal de distrito en Arizona con información sobre cómo representarse usted mismo en el caso en la Sección 1983, está disponible en </w:t>
      </w:r>
      <w:hyperlink r:id="rId14" w:history="1">
        <w:r w:rsidR="00BA2091" w:rsidRPr="00EE7190">
          <w:rPr>
            <w:rStyle w:val="Hyperlink"/>
            <w:sz w:val="26"/>
            <w:szCs w:val="26"/>
            <w:lang w:val="es-MX"/>
          </w:rPr>
          <w:t>http://www.azd.uscourts.gov/handbook-self-represented-litigants</w:t>
        </w:r>
      </w:hyperlink>
      <w:r w:rsidR="00FE6CF5" w:rsidRPr="00EE7190">
        <w:rPr>
          <w:sz w:val="26"/>
          <w:szCs w:val="26"/>
          <w:lang w:val="es-MX"/>
        </w:rPr>
        <w:t xml:space="preserve">. </w:t>
      </w:r>
    </w:p>
    <w:p w:rsidR="00FE6CF5" w:rsidRPr="00EE7190" w:rsidRDefault="00FE6CF5" w:rsidP="00B553A9">
      <w:pPr>
        <w:autoSpaceDE w:val="0"/>
        <w:autoSpaceDN w:val="0"/>
        <w:adjustRightInd w:val="0"/>
        <w:rPr>
          <w:sz w:val="26"/>
          <w:szCs w:val="26"/>
          <w:lang w:val="es-MX"/>
        </w:rPr>
      </w:pPr>
    </w:p>
    <w:p w:rsidR="00B553A9" w:rsidRPr="00EE7190" w:rsidRDefault="00BA2091" w:rsidP="00B553A9">
      <w:pPr>
        <w:pStyle w:val="BParagraph"/>
        <w:numPr>
          <w:ilvl w:val="0"/>
          <w:numId w:val="14"/>
        </w:numPr>
        <w:spacing w:before="0"/>
        <w:rPr>
          <w:b/>
          <w:sz w:val="26"/>
          <w:szCs w:val="26"/>
        </w:rPr>
      </w:pPr>
      <w:proofErr w:type="spellStart"/>
      <w:r w:rsidRPr="00EE7190">
        <w:rPr>
          <w:b/>
          <w:sz w:val="26"/>
          <w:szCs w:val="26"/>
        </w:rPr>
        <w:t>Recursos</w:t>
      </w:r>
      <w:proofErr w:type="spellEnd"/>
      <w:r w:rsidRPr="00EE7190">
        <w:rPr>
          <w:b/>
          <w:sz w:val="26"/>
          <w:szCs w:val="26"/>
        </w:rPr>
        <w:t xml:space="preserve"> </w:t>
      </w:r>
      <w:proofErr w:type="spellStart"/>
      <w:r w:rsidRPr="00EE7190">
        <w:rPr>
          <w:b/>
          <w:sz w:val="26"/>
          <w:szCs w:val="26"/>
        </w:rPr>
        <w:t>Legales</w:t>
      </w:r>
      <w:proofErr w:type="spellEnd"/>
    </w:p>
    <w:p w:rsidR="00FE6CF5" w:rsidRPr="00EE7190" w:rsidRDefault="006F115C" w:rsidP="007A2ACB">
      <w:pPr>
        <w:rPr>
          <w:b/>
          <w:sz w:val="26"/>
          <w:szCs w:val="26"/>
          <w:lang w:val="es-MX"/>
        </w:rPr>
      </w:pPr>
      <w:r w:rsidRPr="00EE7190">
        <w:rPr>
          <w:b/>
          <w:sz w:val="26"/>
          <w:szCs w:val="26"/>
          <w:lang w:val="es-MX"/>
        </w:rPr>
        <w:t xml:space="preserve">Tribunal de Distrito de los Estados Unidos de Arizona, Clínicas de Autoservicio de la Corte Federal </w:t>
      </w:r>
      <w:r w:rsidR="00BA2091" w:rsidRPr="00EE7190">
        <w:rPr>
          <w:b/>
          <w:sz w:val="26"/>
          <w:szCs w:val="26"/>
          <w:lang w:val="es-MX"/>
        </w:rPr>
        <w:t>Solamente con cita</w:t>
      </w:r>
      <w:r w:rsidR="00FE6CF5" w:rsidRPr="00EE7190">
        <w:rPr>
          <w:b/>
          <w:sz w:val="26"/>
          <w:szCs w:val="26"/>
          <w:lang w:val="es-MX"/>
        </w:rPr>
        <w:t>:</w:t>
      </w:r>
    </w:p>
    <w:p w:rsidR="00FE6CF5" w:rsidRPr="00EE7190" w:rsidRDefault="00FE6CF5" w:rsidP="007A2ACB">
      <w:pPr>
        <w:rPr>
          <w:sz w:val="26"/>
          <w:szCs w:val="26"/>
        </w:rPr>
      </w:pPr>
      <w:r w:rsidRPr="00EE7190">
        <w:rPr>
          <w:b/>
          <w:sz w:val="26"/>
          <w:szCs w:val="26"/>
        </w:rPr>
        <w:t>Phoenix courthouse</w:t>
      </w:r>
      <w:r w:rsidR="00424E9E" w:rsidRPr="00EE7190">
        <w:rPr>
          <w:sz w:val="26"/>
          <w:szCs w:val="26"/>
        </w:rPr>
        <w:t xml:space="preserve">: </w:t>
      </w:r>
      <w:hyperlink r:id="rId15" w:history="1">
        <w:r w:rsidRPr="00EE7190">
          <w:rPr>
            <w:rStyle w:val="Hyperlink"/>
          </w:rPr>
          <w:t>https://jobs.azd.uscourts.gov/SelfServiceCenter/SHCScheduler.aspx</w:t>
        </w:r>
      </w:hyperlink>
    </w:p>
    <w:p w:rsidR="00FE6CF5" w:rsidRPr="00EE7190" w:rsidRDefault="00FE6CF5" w:rsidP="007A2ACB">
      <w:pPr>
        <w:rPr>
          <w:sz w:val="26"/>
          <w:szCs w:val="26"/>
        </w:rPr>
      </w:pPr>
      <w:r w:rsidRPr="00EE7190">
        <w:rPr>
          <w:sz w:val="26"/>
          <w:szCs w:val="26"/>
        </w:rPr>
        <w:t>401 W. Washington St., Ste. 130</w:t>
      </w:r>
    </w:p>
    <w:p w:rsidR="00FE6CF5" w:rsidRPr="00EE7190" w:rsidRDefault="00FE6CF5" w:rsidP="007A2ACB">
      <w:pPr>
        <w:rPr>
          <w:sz w:val="26"/>
          <w:szCs w:val="26"/>
        </w:rPr>
      </w:pPr>
      <w:r w:rsidRPr="00EE7190">
        <w:rPr>
          <w:sz w:val="26"/>
          <w:szCs w:val="26"/>
        </w:rPr>
        <w:t>Phoenix, AZ</w:t>
      </w:r>
      <w:r w:rsidR="00424E9E" w:rsidRPr="00EE7190">
        <w:rPr>
          <w:sz w:val="26"/>
          <w:szCs w:val="26"/>
        </w:rPr>
        <w:t xml:space="preserve"> 85003</w:t>
      </w:r>
    </w:p>
    <w:p w:rsidR="00424E9E" w:rsidRPr="00EE7190" w:rsidRDefault="00424E9E" w:rsidP="007A2ACB">
      <w:pPr>
        <w:rPr>
          <w:sz w:val="26"/>
          <w:szCs w:val="26"/>
        </w:rPr>
      </w:pPr>
    </w:p>
    <w:p w:rsidR="00424E9E" w:rsidRPr="00EE7190" w:rsidRDefault="006F115C" w:rsidP="007A2ACB">
      <w:pPr>
        <w:rPr>
          <w:sz w:val="26"/>
          <w:szCs w:val="26"/>
          <w:lang w:val="es-MX"/>
        </w:rPr>
      </w:pPr>
      <w:r w:rsidRPr="00EE7190">
        <w:rPr>
          <w:b/>
          <w:sz w:val="26"/>
          <w:szCs w:val="26"/>
          <w:lang w:val="es-MX"/>
        </w:rPr>
        <w:t xml:space="preserve">Tribunal de </w:t>
      </w:r>
      <w:r w:rsidR="00424E9E" w:rsidRPr="00EE7190">
        <w:rPr>
          <w:b/>
          <w:sz w:val="26"/>
          <w:szCs w:val="26"/>
          <w:lang w:val="es-MX"/>
        </w:rPr>
        <w:t>Tucson</w:t>
      </w:r>
      <w:r w:rsidR="00424E9E" w:rsidRPr="00EE7190">
        <w:rPr>
          <w:sz w:val="26"/>
          <w:szCs w:val="26"/>
          <w:lang w:val="es-MX"/>
        </w:rPr>
        <w:t xml:space="preserve">: </w:t>
      </w:r>
      <w:hyperlink r:id="rId16" w:history="1">
        <w:r w:rsidR="00424E9E" w:rsidRPr="00EE7190">
          <w:rPr>
            <w:rStyle w:val="Hyperlink"/>
            <w:sz w:val="26"/>
            <w:szCs w:val="26"/>
            <w:lang w:val="es-MX"/>
          </w:rPr>
          <w:t>http://www.azd.uscourts.gov/schedule-appointment-tucson</w:t>
        </w:r>
      </w:hyperlink>
      <w:r w:rsidR="00424E9E" w:rsidRPr="00EE7190">
        <w:rPr>
          <w:sz w:val="26"/>
          <w:szCs w:val="26"/>
          <w:lang w:val="es-MX"/>
        </w:rPr>
        <w:t xml:space="preserve"> </w:t>
      </w:r>
    </w:p>
    <w:p w:rsidR="00424E9E" w:rsidRPr="00EE7190" w:rsidRDefault="00424E9E" w:rsidP="007A2ACB">
      <w:pPr>
        <w:rPr>
          <w:sz w:val="26"/>
          <w:szCs w:val="26"/>
        </w:rPr>
      </w:pPr>
      <w:r w:rsidRPr="00EE7190">
        <w:rPr>
          <w:sz w:val="26"/>
          <w:szCs w:val="26"/>
        </w:rPr>
        <w:t>405 W. Congress St., 6th Floor</w:t>
      </w:r>
    </w:p>
    <w:p w:rsidR="00424E9E" w:rsidRPr="00EE7190" w:rsidRDefault="00424E9E" w:rsidP="007A2ACB">
      <w:pPr>
        <w:rPr>
          <w:sz w:val="26"/>
          <w:szCs w:val="26"/>
        </w:rPr>
      </w:pPr>
      <w:r w:rsidRPr="00EE7190">
        <w:rPr>
          <w:sz w:val="26"/>
          <w:szCs w:val="26"/>
        </w:rPr>
        <w:t>Tucson, AZ 85701</w:t>
      </w:r>
    </w:p>
    <w:p w:rsidR="00FE6CF5" w:rsidRPr="00EE7190" w:rsidRDefault="00FE6CF5" w:rsidP="007A2ACB">
      <w:pPr>
        <w:rPr>
          <w:sz w:val="26"/>
          <w:szCs w:val="26"/>
        </w:rPr>
      </w:pPr>
    </w:p>
    <w:p w:rsidR="00424E9E" w:rsidRPr="00EE7190" w:rsidRDefault="006F115C" w:rsidP="00424E9E">
      <w:pPr>
        <w:rPr>
          <w:b/>
          <w:sz w:val="26"/>
          <w:szCs w:val="26"/>
          <w:lang w:val="es-MX"/>
        </w:rPr>
      </w:pPr>
      <w:r w:rsidRPr="00EE7190">
        <w:rPr>
          <w:b/>
          <w:sz w:val="26"/>
          <w:szCs w:val="26"/>
          <w:lang w:val="es-MX"/>
        </w:rPr>
        <w:t xml:space="preserve">Centro de Autoservicio, Tribunal Superior del Condado de </w:t>
      </w:r>
      <w:proofErr w:type="spellStart"/>
      <w:r w:rsidRPr="00EE7190">
        <w:rPr>
          <w:b/>
          <w:sz w:val="26"/>
          <w:szCs w:val="26"/>
          <w:lang w:val="es-MX"/>
        </w:rPr>
        <w:t>Maricopa</w:t>
      </w:r>
      <w:proofErr w:type="spellEnd"/>
    </w:p>
    <w:p w:rsidR="00424E9E" w:rsidRPr="00EE7190" w:rsidRDefault="00424E9E" w:rsidP="00424E9E">
      <w:pPr>
        <w:rPr>
          <w:sz w:val="26"/>
          <w:szCs w:val="26"/>
        </w:rPr>
      </w:pPr>
      <w:r w:rsidRPr="00EE7190">
        <w:rPr>
          <w:sz w:val="26"/>
          <w:szCs w:val="26"/>
        </w:rPr>
        <w:t>101 W. Jefferson, 4</w:t>
      </w:r>
      <w:r w:rsidRPr="00EE7190">
        <w:rPr>
          <w:sz w:val="26"/>
          <w:szCs w:val="26"/>
          <w:vertAlign w:val="superscript"/>
        </w:rPr>
        <w:t>th</w:t>
      </w:r>
      <w:r w:rsidRPr="00EE7190">
        <w:rPr>
          <w:sz w:val="26"/>
          <w:szCs w:val="26"/>
        </w:rPr>
        <w:t xml:space="preserve"> Floor</w:t>
      </w:r>
    </w:p>
    <w:p w:rsidR="00424E9E" w:rsidRPr="00EE7190" w:rsidRDefault="00424E9E" w:rsidP="00424E9E">
      <w:pPr>
        <w:rPr>
          <w:sz w:val="26"/>
          <w:szCs w:val="26"/>
        </w:rPr>
      </w:pPr>
      <w:r w:rsidRPr="00EE7190">
        <w:rPr>
          <w:sz w:val="26"/>
          <w:szCs w:val="26"/>
        </w:rPr>
        <w:t>Phoenix, AZ 85003</w:t>
      </w:r>
    </w:p>
    <w:p w:rsidR="00424E9E" w:rsidRPr="00EE7190" w:rsidRDefault="00424E9E" w:rsidP="00424E9E">
      <w:pPr>
        <w:rPr>
          <w:sz w:val="26"/>
          <w:szCs w:val="26"/>
          <w:lang w:val="es-MX"/>
        </w:rPr>
      </w:pPr>
      <w:r w:rsidRPr="00EE7190">
        <w:rPr>
          <w:sz w:val="26"/>
          <w:szCs w:val="26"/>
          <w:lang w:val="es-MX"/>
        </w:rPr>
        <w:t>(602) 506-7353</w:t>
      </w:r>
    </w:p>
    <w:p w:rsidR="00424E9E" w:rsidRPr="00EE7190" w:rsidRDefault="00424E9E" w:rsidP="007A2ACB">
      <w:pPr>
        <w:rPr>
          <w:sz w:val="26"/>
          <w:szCs w:val="26"/>
          <w:lang w:val="es-MX"/>
        </w:rPr>
      </w:pPr>
    </w:p>
    <w:p w:rsidR="006F115C" w:rsidRPr="00EE7190" w:rsidRDefault="006F115C" w:rsidP="007A2ACB">
      <w:pPr>
        <w:rPr>
          <w:b/>
          <w:sz w:val="26"/>
          <w:szCs w:val="26"/>
          <w:lang w:val="es-MX"/>
        </w:rPr>
      </w:pPr>
      <w:r w:rsidRPr="00EE7190">
        <w:rPr>
          <w:b/>
          <w:sz w:val="26"/>
          <w:szCs w:val="26"/>
          <w:lang w:val="es-MX"/>
        </w:rPr>
        <w:t xml:space="preserve">Colegio de Abogados del Condado de </w:t>
      </w:r>
      <w:proofErr w:type="spellStart"/>
      <w:r w:rsidRPr="00EE7190">
        <w:rPr>
          <w:b/>
          <w:sz w:val="26"/>
          <w:szCs w:val="26"/>
          <w:lang w:val="es-MX"/>
        </w:rPr>
        <w:t>Maricopa</w:t>
      </w:r>
      <w:proofErr w:type="spellEnd"/>
      <w:r w:rsidRPr="00EE7190">
        <w:rPr>
          <w:b/>
          <w:sz w:val="26"/>
          <w:szCs w:val="26"/>
          <w:lang w:val="es-MX"/>
        </w:rPr>
        <w:t xml:space="preserve"> </w:t>
      </w:r>
    </w:p>
    <w:p w:rsidR="00B553A9" w:rsidRPr="00EE7190" w:rsidRDefault="00B553A9" w:rsidP="007A2ACB">
      <w:pPr>
        <w:rPr>
          <w:sz w:val="26"/>
          <w:szCs w:val="26"/>
        </w:rPr>
      </w:pPr>
      <w:r w:rsidRPr="00EE7190">
        <w:rPr>
          <w:sz w:val="26"/>
          <w:szCs w:val="26"/>
        </w:rPr>
        <w:t>303 E</w:t>
      </w:r>
      <w:r w:rsidR="00424E9E" w:rsidRPr="00EE7190">
        <w:rPr>
          <w:sz w:val="26"/>
          <w:szCs w:val="26"/>
        </w:rPr>
        <w:t>ast</w:t>
      </w:r>
      <w:r w:rsidRPr="00EE7190">
        <w:rPr>
          <w:sz w:val="26"/>
          <w:szCs w:val="26"/>
        </w:rPr>
        <w:t xml:space="preserve"> Palm Ln.</w:t>
      </w:r>
    </w:p>
    <w:p w:rsidR="00B553A9" w:rsidRPr="00EE7190" w:rsidRDefault="00B553A9" w:rsidP="007A2ACB">
      <w:pPr>
        <w:rPr>
          <w:sz w:val="26"/>
          <w:szCs w:val="26"/>
        </w:rPr>
      </w:pPr>
      <w:r w:rsidRPr="00EE7190">
        <w:rPr>
          <w:sz w:val="26"/>
          <w:szCs w:val="26"/>
        </w:rPr>
        <w:t>Phoenix, AZ 85004</w:t>
      </w:r>
    </w:p>
    <w:p w:rsidR="00B553A9" w:rsidRPr="00EE7190" w:rsidRDefault="00B553A9" w:rsidP="007A2ACB">
      <w:pPr>
        <w:rPr>
          <w:sz w:val="26"/>
          <w:szCs w:val="26"/>
          <w:lang w:val="es-MX"/>
        </w:rPr>
      </w:pPr>
      <w:r w:rsidRPr="00EE7190">
        <w:rPr>
          <w:sz w:val="26"/>
          <w:szCs w:val="26"/>
          <w:lang w:val="es-MX"/>
        </w:rPr>
        <w:lastRenderedPageBreak/>
        <w:t>(602) 257-4434</w:t>
      </w:r>
    </w:p>
    <w:p w:rsidR="00B553A9" w:rsidRPr="00EE7190" w:rsidRDefault="00B553A9" w:rsidP="007A2ACB">
      <w:pPr>
        <w:rPr>
          <w:sz w:val="26"/>
          <w:szCs w:val="26"/>
          <w:lang w:val="es-MX"/>
        </w:rPr>
      </w:pPr>
    </w:p>
    <w:p w:rsidR="006F115C" w:rsidRPr="00EE7190" w:rsidRDefault="006F115C" w:rsidP="007A2ACB">
      <w:pPr>
        <w:rPr>
          <w:b/>
          <w:sz w:val="26"/>
          <w:szCs w:val="26"/>
          <w:lang w:val="es-MX"/>
        </w:rPr>
      </w:pPr>
      <w:r w:rsidRPr="00EE7190">
        <w:rPr>
          <w:b/>
          <w:sz w:val="26"/>
          <w:szCs w:val="26"/>
          <w:lang w:val="es-MX"/>
        </w:rPr>
        <w:t xml:space="preserve">Colegio de Abogados del Condado de </w:t>
      </w:r>
      <w:proofErr w:type="spellStart"/>
      <w:r w:rsidRPr="00EE7190">
        <w:rPr>
          <w:b/>
          <w:sz w:val="26"/>
          <w:szCs w:val="26"/>
          <w:lang w:val="es-MX"/>
        </w:rPr>
        <w:t>Pima</w:t>
      </w:r>
      <w:proofErr w:type="spellEnd"/>
      <w:r w:rsidRPr="00EE7190">
        <w:rPr>
          <w:b/>
          <w:sz w:val="26"/>
          <w:szCs w:val="26"/>
          <w:lang w:val="es-MX"/>
        </w:rPr>
        <w:t xml:space="preserve"> </w:t>
      </w:r>
    </w:p>
    <w:p w:rsidR="00B553A9" w:rsidRPr="00EE7190" w:rsidRDefault="00B553A9" w:rsidP="007A2ACB">
      <w:pPr>
        <w:rPr>
          <w:sz w:val="26"/>
          <w:szCs w:val="26"/>
        </w:rPr>
      </w:pPr>
      <w:r w:rsidRPr="00EE7190">
        <w:rPr>
          <w:sz w:val="26"/>
          <w:szCs w:val="26"/>
        </w:rPr>
        <w:t>177 N. Church Ave., #101</w:t>
      </w:r>
    </w:p>
    <w:p w:rsidR="00B553A9" w:rsidRPr="00EE7190" w:rsidRDefault="00B553A9" w:rsidP="007A2ACB">
      <w:pPr>
        <w:rPr>
          <w:sz w:val="26"/>
          <w:szCs w:val="26"/>
        </w:rPr>
      </w:pPr>
      <w:r w:rsidRPr="00EE7190">
        <w:rPr>
          <w:sz w:val="26"/>
          <w:szCs w:val="26"/>
        </w:rPr>
        <w:t>Tucson, AZ 85701</w:t>
      </w:r>
    </w:p>
    <w:p w:rsidR="00B553A9" w:rsidRPr="00EE7190" w:rsidRDefault="00B553A9" w:rsidP="007A2ACB">
      <w:pPr>
        <w:rPr>
          <w:sz w:val="26"/>
          <w:szCs w:val="26"/>
        </w:rPr>
      </w:pPr>
      <w:r w:rsidRPr="00EE7190">
        <w:rPr>
          <w:sz w:val="26"/>
          <w:szCs w:val="26"/>
        </w:rPr>
        <w:t>(520) 623-4625</w:t>
      </w:r>
    </w:p>
    <w:p w:rsidR="00B553A9" w:rsidRPr="00EE7190" w:rsidRDefault="00B553A9" w:rsidP="007A2ACB">
      <w:pPr>
        <w:rPr>
          <w:sz w:val="26"/>
          <w:szCs w:val="26"/>
        </w:rPr>
      </w:pPr>
    </w:p>
    <w:p w:rsidR="00424E9E" w:rsidRPr="00EE7190" w:rsidRDefault="00424E9E" w:rsidP="00424E9E">
      <w:pPr>
        <w:rPr>
          <w:b/>
          <w:sz w:val="26"/>
          <w:szCs w:val="26"/>
        </w:rPr>
      </w:pPr>
      <w:r w:rsidRPr="00EE7190">
        <w:rPr>
          <w:b/>
          <w:sz w:val="26"/>
          <w:szCs w:val="26"/>
        </w:rPr>
        <w:t>Step Up to Justice</w:t>
      </w:r>
    </w:p>
    <w:p w:rsidR="00424E9E" w:rsidRPr="00EE7190" w:rsidRDefault="00424E9E" w:rsidP="00424E9E">
      <w:pPr>
        <w:rPr>
          <w:sz w:val="26"/>
          <w:szCs w:val="26"/>
        </w:rPr>
      </w:pPr>
      <w:r w:rsidRPr="00EE7190">
        <w:rPr>
          <w:sz w:val="26"/>
          <w:szCs w:val="26"/>
        </w:rPr>
        <w:t>320 N. Commerce Park Loop, Ste. 100</w:t>
      </w:r>
    </w:p>
    <w:p w:rsidR="00424E9E" w:rsidRPr="00EE7190" w:rsidRDefault="00424E9E" w:rsidP="00424E9E">
      <w:pPr>
        <w:rPr>
          <w:sz w:val="26"/>
          <w:szCs w:val="26"/>
          <w:lang w:val="es-MX"/>
        </w:rPr>
      </w:pPr>
      <w:r w:rsidRPr="00EE7190">
        <w:rPr>
          <w:sz w:val="26"/>
          <w:szCs w:val="26"/>
          <w:lang w:val="es-MX"/>
        </w:rPr>
        <w:t xml:space="preserve">Tucson, </w:t>
      </w:r>
      <w:proofErr w:type="spellStart"/>
      <w:r w:rsidRPr="00EE7190">
        <w:rPr>
          <w:sz w:val="26"/>
          <w:szCs w:val="26"/>
          <w:lang w:val="es-MX"/>
        </w:rPr>
        <w:t>AZ</w:t>
      </w:r>
      <w:proofErr w:type="spellEnd"/>
      <w:r w:rsidRPr="00EE7190">
        <w:rPr>
          <w:sz w:val="26"/>
          <w:szCs w:val="26"/>
          <w:lang w:val="es-MX"/>
        </w:rPr>
        <w:t xml:space="preserve"> 85745</w:t>
      </w:r>
    </w:p>
    <w:p w:rsidR="00B553A9" w:rsidRPr="00EE7190" w:rsidRDefault="00B553A9" w:rsidP="007A2ACB">
      <w:pPr>
        <w:rPr>
          <w:sz w:val="26"/>
          <w:szCs w:val="26"/>
          <w:lang w:val="es-MX"/>
        </w:rPr>
      </w:pPr>
    </w:p>
    <w:p w:rsidR="006F115C" w:rsidRPr="00EE7190" w:rsidRDefault="006F115C" w:rsidP="007A2ACB">
      <w:pPr>
        <w:rPr>
          <w:b/>
          <w:sz w:val="26"/>
          <w:szCs w:val="26"/>
          <w:lang w:val="es-MX"/>
        </w:rPr>
      </w:pPr>
      <w:r w:rsidRPr="00EE7190">
        <w:rPr>
          <w:b/>
          <w:sz w:val="26"/>
          <w:szCs w:val="26"/>
          <w:lang w:val="es-MX"/>
        </w:rPr>
        <w:t xml:space="preserve">Barra Estatal de Arizona: Localizador de Abogados y Recursos de Referencia </w:t>
      </w:r>
    </w:p>
    <w:p w:rsidR="00B553A9" w:rsidRPr="00EE7190" w:rsidRDefault="00B553A9" w:rsidP="007A2ACB">
      <w:pPr>
        <w:rPr>
          <w:sz w:val="26"/>
          <w:szCs w:val="26"/>
        </w:rPr>
      </w:pPr>
      <w:r w:rsidRPr="00EE7190">
        <w:rPr>
          <w:sz w:val="26"/>
          <w:szCs w:val="26"/>
        </w:rPr>
        <w:t>4201 N. 24</w:t>
      </w:r>
      <w:r w:rsidRPr="00EE7190">
        <w:rPr>
          <w:sz w:val="26"/>
          <w:szCs w:val="26"/>
          <w:vertAlign w:val="superscript"/>
        </w:rPr>
        <w:t>th</w:t>
      </w:r>
      <w:r w:rsidRPr="00EE7190">
        <w:rPr>
          <w:sz w:val="26"/>
          <w:szCs w:val="26"/>
        </w:rPr>
        <w:t xml:space="preserve"> Street, Suite 200</w:t>
      </w:r>
    </w:p>
    <w:p w:rsidR="00B553A9" w:rsidRPr="00EE7190" w:rsidRDefault="00B553A9" w:rsidP="007A2ACB">
      <w:pPr>
        <w:rPr>
          <w:sz w:val="26"/>
          <w:szCs w:val="26"/>
        </w:rPr>
      </w:pPr>
      <w:r w:rsidRPr="00EE7190">
        <w:rPr>
          <w:sz w:val="26"/>
          <w:szCs w:val="26"/>
        </w:rPr>
        <w:t>Phoenix, AZ 85016</w:t>
      </w:r>
    </w:p>
    <w:p w:rsidR="00B553A9" w:rsidRPr="00EE7190" w:rsidRDefault="00B553A9" w:rsidP="007A2ACB">
      <w:pPr>
        <w:rPr>
          <w:sz w:val="26"/>
          <w:szCs w:val="26"/>
          <w:lang w:val="es-MX"/>
        </w:rPr>
      </w:pPr>
      <w:r w:rsidRPr="00EE7190">
        <w:rPr>
          <w:sz w:val="26"/>
          <w:szCs w:val="26"/>
        </w:rPr>
        <w:t xml:space="preserve"> </w:t>
      </w:r>
      <w:r w:rsidRPr="00EE7190">
        <w:rPr>
          <w:sz w:val="26"/>
          <w:szCs w:val="26"/>
          <w:lang w:val="es-MX"/>
        </w:rPr>
        <w:t>(520) 623-9944</w:t>
      </w:r>
    </w:p>
    <w:p w:rsidR="00B553A9" w:rsidRPr="00EE7190" w:rsidRDefault="00B553A9" w:rsidP="00424E9E">
      <w:pPr>
        <w:pStyle w:val="BiABC0"/>
        <w:outlineLvl w:val="1"/>
        <w:rPr>
          <w:sz w:val="26"/>
          <w:szCs w:val="26"/>
          <w:lang w:val="es-MX"/>
        </w:rPr>
      </w:pPr>
      <w:bookmarkStart w:id="23" w:name="_Toc11662510"/>
      <w:bookmarkStart w:id="24" w:name="_Toc11662672"/>
      <w:r w:rsidRPr="00EE7190">
        <w:rPr>
          <w:sz w:val="26"/>
          <w:szCs w:val="26"/>
          <w:lang w:val="es-MX"/>
        </w:rPr>
        <w:t>D.</w:t>
      </w:r>
      <w:r w:rsidRPr="00EE7190">
        <w:rPr>
          <w:sz w:val="26"/>
          <w:szCs w:val="26"/>
          <w:lang w:val="es-MX"/>
        </w:rPr>
        <w:tab/>
      </w:r>
      <w:r w:rsidR="00BA2091" w:rsidRPr="00EE7190">
        <w:rPr>
          <w:sz w:val="26"/>
          <w:szCs w:val="26"/>
          <w:lang w:val="es-MX"/>
        </w:rPr>
        <w:t>Otros Recursos</w:t>
      </w:r>
      <w:bookmarkEnd w:id="23"/>
      <w:bookmarkEnd w:id="24"/>
    </w:p>
    <w:p w:rsidR="00903283" w:rsidRPr="00EE7190" w:rsidRDefault="00B553A9" w:rsidP="001C11C0">
      <w:pPr>
        <w:ind w:firstLine="720"/>
        <w:jc w:val="both"/>
        <w:rPr>
          <w:sz w:val="26"/>
          <w:szCs w:val="26"/>
          <w:lang w:val="es-MX"/>
        </w:rPr>
      </w:pPr>
      <w:proofErr w:type="spellStart"/>
      <w:r w:rsidRPr="00EE7190">
        <w:rPr>
          <w:sz w:val="26"/>
          <w:szCs w:val="26"/>
          <w:lang w:val="es-MX"/>
        </w:rPr>
        <w:t>Just</w:t>
      </w:r>
      <w:proofErr w:type="spellEnd"/>
      <w:r w:rsidRPr="00EE7190">
        <w:rPr>
          <w:sz w:val="26"/>
          <w:szCs w:val="26"/>
          <w:lang w:val="es-MX"/>
        </w:rPr>
        <w:t xml:space="preserve"> </w:t>
      </w:r>
      <w:proofErr w:type="spellStart"/>
      <w:r w:rsidRPr="00EE7190">
        <w:rPr>
          <w:sz w:val="26"/>
          <w:szCs w:val="26"/>
          <w:lang w:val="es-MX"/>
        </w:rPr>
        <w:t>Detention</w:t>
      </w:r>
      <w:proofErr w:type="spellEnd"/>
      <w:r w:rsidRPr="00EE7190">
        <w:rPr>
          <w:sz w:val="26"/>
          <w:szCs w:val="26"/>
          <w:lang w:val="es-MX"/>
        </w:rPr>
        <w:t xml:space="preserve"> International (</w:t>
      </w:r>
      <w:proofErr w:type="spellStart"/>
      <w:r w:rsidRPr="00EE7190">
        <w:rPr>
          <w:sz w:val="26"/>
          <w:szCs w:val="26"/>
          <w:lang w:val="es-MX"/>
        </w:rPr>
        <w:t>JDI</w:t>
      </w:r>
      <w:proofErr w:type="spellEnd"/>
      <w:r w:rsidRPr="00EE7190">
        <w:rPr>
          <w:sz w:val="26"/>
          <w:szCs w:val="26"/>
          <w:lang w:val="es-MX"/>
        </w:rPr>
        <w:t>)</w:t>
      </w:r>
      <w:r w:rsidR="00BA2091" w:rsidRPr="00EE7190">
        <w:rPr>
          <w:sz w:val="26"/>
          <w:szCs w:val="26"/>
          <w:lang w:val="es-MX"/>
        </w:rPr>
        <w:t xml:space="preserve"> es una organización de salud y derechos humanos que busca terminar con el abuso sexual en todas sus formas de detención y da asesoría, soporte e información a presos que han enfrentado abuso sexual o a quienes han sobrevivido a abuso sexual. La sitio de internet de </w:t>
      </w:r>
      <w:proofErr w:type="spellStart"/>
      <w:r w:rsidR="00BA2091" w:rsidRPr="00EE7190">
        <w:rPr>
          <w:sz w:val="26"/>
          <w:szCs w:val="26"/>
          <w:lang w:val="es-MX"/>
        </w:rPr>
        <w:t>JDI</w:t>
      </w:r>
      <w:proofErr w:type="spellEnd"/>
      <w:r w:rsidR="00BA2091" w:rsidRPr="00EE7190">
        <w:rPr>
          <w:sz w:val="26"/>
          <w:szCs w:val="26"/>
          <w:lang w:val="es-MX"/>
        </w:rPr>
        <w:t xml:space="preserve"> es</w:t>
      </w:r>
      <w:r w:rsidR="00903283" w:rsidRPr="00EE7190">
        <w:rPr>
          <w:sz w:val="26"/>
          <w:szCs w:val="26"/>
          <w:lang w:val="es-MX"/>
        </w:rPr>
        <w:t xml:space="preserve"> </w:t>
      </w:r>
      <w:hyperlink r:id="rId17" w:history="1">
        <w:r w:rsidRPr="00EE7190">
          <w:rPr>
            <w:rStyle w:val="Hyperlink"/>
            <w:sz w:val="26"/>
            <w:szCs w:val="26"/>
            <w:lang w:val="es-MX"/>
          </w:rPr>
          <w:t>www.justdetention.org</w:t>
        </w:r>
      </w:hyperlink>
      <w:r w:rsidR="00EE7190">
        <w:rPr>
          <w:sz w:val="26"/>
          <w:szCs w:val="26"/>
          <w:lang w:val="es-MX"/>
        </w:rPr>
        <w:t xml:space="preserve"> </w:t>
      </w:r>
      <w:r w:rsidR="00903283" w:rsidRPr="00EE7190">
        <w:rPr>
          <w:sz w:val="26"/>
          <w:szCs w:val="26"/>
          <w:lang w:val="es-MX"/>
        </w:rPr>
        <w:t xml:space="preserve">tiene recursos tales como listas de asesoría de estado por estado, recursos gubernamentales y legales para sobrevivientes de abuso sexual en prisiones. Abajo se encuentra </w:t>
      </w:r>
      <w:proofErr w:type="spellStart"/>
      <w:r w:rsidR="00903283" w:rsidRPr="00EE7190">
        <w:rPr>
          <w:sz w:val="26"/>
          <w:szCs w:val="26"/>
          <w:lang w:val="es-MX"/>
        </w:rPr>
        <w:t>unaa</w:t>
      </w:r>
      <w:proofErr w:type="spellEnd"/>
      <w:r w:rsidR="00903283" w:rsidRPr="00EE7190">
        <w:rPr>
          <w:sz w:val="26"/>
          <w:szCs w:val="26"/>
          <w:lang w:val="es-MX"/>
        </w:rPr>
        <w:t xml:space="preserve"> lista de proveedores de servicio y centros</w:t>
      </w:r>
      <w:r w:rsidR="00EE7190">
        <w:rPr>
          <w:sz w:val="26"/>
          <w:szCs w:val="26"/>
          <w:lang w:val="es-MX"/>
        </w:rPr>
        <w:t xml:space="preserve"> </w:t>
      </w:r>
      <w:r w:rsidR="00903283" w:rsidRPr="00EE7190">
        <w:rPr>
          <w:sz w:val="26"/>
          <w:szCs w:val="26"/>
          <w:lang w:val="es-MX"/>
        </w:rPr>
        <w:t>de recursos para crisis – de violación adaptados a partir de la información de ese sitio de internet. Usted puede escribir a JDI a las siguientes direcciones:</w:t>
      </w:r>
    </w:p>
    <w:p w:rsidR="00424E9E" w:rsidRPr="00EE7190" w:rsidRDefault="00424E9E" w:rsidP="00424E9E">
      <w:pPr>
        <w:ind w:firstLine="720"/>
        <w:rPr>
          <w:sz w:val="26"/>
          <w:szCs w:val="26"/>
          <w:lang w:val="es-MX"/>
        </w:rPr>
      </w:pPr>
    </w:p>
    <w:p w:rsidR="00FC0576" w:rsidRPr="00EE7190" w:rsidRDefault="00FC0576" w:rsidP="00FC0576">
      <w:pPr>
        <w:rPr>
          <w:sz w:val="26"/>
          <w:szCs w:val="26"/>
          <w:lang w:val="es-MX"/>
        </w:rPr>
      </w:pPr>
      <w:proofErr w:type="spellStart"/>
      <w:r w:rsidRPr="00EE7190">
        <w:rPr>
          <w:sz w:val="26"/>
          <w:szCs w:val="26"/>
          <w:lang w:val="es-MX"/>
        </w:rPr>
        <w:t>Just</w:t>
      </w:r>
      <w:proofErr w:type="spellEnd"/>
      <w:r w:rsidRPr="00EE7190">
        <w:rPr>
          <w:sz w:val="26"/>
          <w:szCs w:val="26"/>
          <w:lang w:val="es-MX"/>
        </w:rPr>
        <w:t xml:space="preserve"> </w:t>
      </w:r>
      <w:proofErr w:type="spellStart"/>
      <w:r w:rsidRPr="00EE7190">
        <w:rPr>
          <w:sz w:val="26"/>
          <w:szCs w:val="26"/>
          <w:lang w:val="es-MX"/>
        </w:rPr>
        <w:t>Detention</w:t>
      </w:r>
      <w:proofErr w:type="spellEnd"/>
      <w:r w:rsidRPr="00EE7190">
        <w:rPr>
          <w:sz w:val="26"/>
          <w:szCs w:val="26"/>
          <w:lang w:val="es-MX"/>
        </w:rPr>
        <w:t xml:space="preserve"> International</w:t>
      </w:r>
    </w:p>
    <w:p w:rsidR="00FC0576" w:rsidRPr="00EE7190" w:rsidRDefault="00B553A9" w:rsidP="00FC0576">
      <w:pPr>
        <w:rPr>
          <w:sz w:val="26"/>
          <w:szCs w:val="26"/>
          <w:lang w:val="es-MX"/>
        </w:rPr>
      </w:pPr>
      <w:r w:rsidRPr="00EE7190">
        <w:rPr>
          <w:sz w:val="26"/>
          <w:szCs w:val="26"/>
          <w:lang w:val="es-MX"/>
        </w:rPr>
        <w:t xml:space="preserve">3325 Wilshire </w:t>
      </w:r>
      <w:proofErr w:type="spellStart"/>
      <w:r w:rsidRPr="00EE7190">
        <w:rPr>
          <w:sz w:val="26"/>
          <w:szCs w:val="26"/>
          <w:lang w:val="es-MX"/>
        </w:rPr>
        <w:t>Blvd</w:t>
      </w:r>
      <w:proofErr w:type="spellEnd"/>
      <w:r w:rsidRPr="00EE7190">
        <w:rPr>
          <w:sz w:val="26"/>
          <w:szCs w:val="26"/>
          <w:lang w:val="es-MX"/>
        </w:rPr>
        <w:t>., Ste. 340</w:t>
      </w:r>
    </w:p>
    <w:p w:rsidR="00FC0576" w:rsidRPr="00EE7190" w:rsidRDefault="00B553A9" w:rsidP="00FC0576">
      <w:pPr>
        <w:rPr>
          <w:sz w:val="26"/>
          <w:szCs w:val="26"/>
          <w:lang w:val="es-MX"/>
        </w:rPr>
      </w:pPr>
      <w:r w:rsidRPr="00EE7190">
        <w:rPr>
          <w:sz w:val="26"/>
          <w:szCs w:val="26"/>
          <w:lang w:val="es-MX"/>
        </w:rPr>
        <w:t xml:space="preserve">Los </w:t>
      </w:r>
      <w:proofErr w:type="spellStart"/>
      <w:r w:rsidRPr="00EE7190">
        <w:rPr>
          <w:sz w:val="26"/>
          <w:szCs w:val="26"/>
          <w:lang w:val="es-MX"/>
        </w:rPr>
        <w:t>Angeles</w:t>
      </w:r>
      <w:proofErr w:type="spellEnd"/>
      <w:r w:rsidRPr="00EE7190">
        <w:rPr>
          <w:sz w:val="26"/>
          <w:szCs w:val="26"/>
          <w:lang w:val="es-MX"/>
        </w:rPr>
        <w:t>, CA 90010</w:t>
      </w:r>
    </w:p>
    <w:p w:rsidR="00FC0576" w:rsidRPr="00EE7190" w:rsidRDefault="00B553A9" w:rsidP="00FC0576">
      <w:pPr>
        <w:rPr>
          <w:sz w:val="26"/>
          <w:szCs w:val="26"/>
          <w:lang w:val="es-MX"/>
        </w:rPr>
      </w:pPr>
      <w:r w:rsidRPr="00EE7190">
        <w:rPr>
          <w:sz w:val="26"/>
          <w:szCs w:val="26"/>
          <w:lang w:val="es-MX"/>
        </w:rPr>
        <w:t>(213) 384-1400</w:t>
      </w:r>
    </w:p>
    <w:p w:rsidR="00B553A9" w:rsidRPr="00EE7190" w:rsidRDefault="00EE7190" w:rsidP="00FC0576">
      <w:pPr>
        <w:rPr>
          <w:sz w:val="26"/>
          <w:szCs w:val="26"/>
          <w:lang w:val="es-MX"/>
        </w:rPr>
      </w:pPr>
      <w:hyperlink r:id="rId18" w:history="1">
        <w:r w:rsidR="00B553A9" w:rsidRPr="00EE7190">
          <w:rPr>
            <w:rStyle w:val="Hyperlink"/>
            <w:sz w:val="26"/>
            <w:szCs w:val="26"/>
            <w:lang w:val="es-MX"/>
          </w:rPr>
          <w:t>info@justdetention.org</w:t>
        </w:r>
      </w:hyperlink>
      <w:r w:rsidR="00B553A9" w:rsidRPr="00EE7190">
        <w:rPr>
          <w:sz w:val="26"/>
          <w:szCs w:val="26"/>
          <w:lang w:val="es-MX"/>
        </w:rPr>
        <w:t>.</w:t>
      </w:r>
    </w:p>
    <w:p w:rsidR="00424E9E" w:rsidRPr="00EE7190" w:rsidRDefault="00424E9E" w:rsidP="007A2ACB">
      <w:pPr>
        <w:rPr>
          <w:sz w:val="26"/>
          <w:szCs w:val="26"/>
          <w:lang w:val="es-MX"/>
        </w:rPr>
      </w:pPr>
    </w:p>
    <w:p w:rsidR="00B553A9" w:rsidRPr="00EE7190" w:rsidRDefault="00224FFB" w:rsidP="00B553A9">
      <w:pPr>
        <w:rPr>
          <w:sz w:val="26"/>
          <w:szCs w:val="26"/>
          <w:u w:val="single"/>
          <w:lang w:val="es-MX"/>
        </w:rPr>
      </w:pPr>
      <w:r w:rsidRPr="00EE7190">
        <w:rPr>
          <w:sz w:val="26"/>
          <w:szCs w:val="26"/>
          <w:u w:val="single"/>
          <w:lang w:val="es-MX"/>
        </w:rPr>
        <w:t>En todo el</w:t>
      </w:r>
      <w:r w:rsidR="00EE7190">
        <w:rPr>
          <w:sz w:val="26"/>
          <w:szCs w:val="26"/>
          <w:u w:val="single"/>
          <w:lang w:val="es-MX"/>
        </w:rPr>
        <w:t xml:space="preserve"> </w:t>
      </w:r>
      <w:r w:rsidR="006F115C" w:rsidRPr="00EE7190">
        <w:rPr>
          <w:sz w:val="26"/>
          <w:szCs w:val="26"/>
          <w:u w:val="single"/>
          <w:lang w:val="es-MX"/>
        </w:rPr>
        <w:t>Estado</w:t>
      </w:r>
    </w:p>
    <w:p w:rsidR="00224FFB" w:rsidRPr="00EE7190" w:rsidRDefault="00224FFB" w:rsidP="00B553A9">
      <w:pPr>
        <w:rPr>
          <w:b/>
          <w:sz w:val="26"/>
          <w:szCs w:val="26"/>
          <w:lang w:val="es-MX"/>
        </w:rPr>
      </w:pPr>
      <w:r w:rsidRPr="00EE7190">
        <w:rPr>
          <w:b/>
          <w:sz w:val="26"/>
          <w:szCs w:val="26"/>
          <w:lang w:val="es-MX"/>
        </w:rPr>
        <w:t xml:space="preserve">Fundación del SIDA del Sur de Arizona </w:t>
      </w:r>
    </w:p>
    <w:p w:rsidR="00B553A9" w:rsidRPr="00EE7190" w:rsidRDefault="00B553A9" w:rsidP="00B553A9">
      <w:pPr>
        <w:rPr>
          <w:sz w:val="26"/>
          <w:szCs w:val="26"/>
        </w:rPr>
      </w:pPr>
      <w:r w:rsidRPr="00EE7190">
        <w:rPr>
          <w:sz w:val="26"/>
          <w:szCs w:val="26"/>
        </w:rPr>
        <w:t>375 S. Euclid Ave.</w:t>
      </w:r>
    </w:p>
    <w:p w:rsidR="00B553A9" w:rsidRPr="00EE7190" w:rsidRDefault="00B553A9" w:rsidP="00B553A9">
      <w:pPr>
        <w:rPr>
          <w:sz w:val="26"/>
          <w:szCs w:val="26"/>
        </w:rPr>
      </w:pPr>
      <w:r w:rsidRPr="00EE7190">
        <w:rPr>
          <w:sz w:val="26"/>
          <w:szCs w:val="26"/>
        </w:rPr>
        <w:t>Tucson, AZ 85719</w:t>
      </w:r>
    </w:p>
    <w:p w:rsidR="00B553A9" w:rsidRPr="00EE7190" w:rsidRDefault="00903283" w:rsidP="00B553A9">
      <w:pPr>
        <w:rPr>
          <w:sz w:val="26"/>
          <w:szCs w:val="26"/>
          <w:lang w:val="es-MX"/>
        </w:rPr>
      </w:pPr>
      <w:r w:rsidRPr="00EE7190">
        <w:rPr>
          <w:sz w:val="26"/>
          <w:szCs w:val="26"/>
          <w:lang w:val="es-MX"/>
        </w:rPr>
        <w:t>Oficina</w:t>
      </w:r>
      <w:r w:rsidR="00B553A9" w:rsidRPr="00EE7190">
        <w:rPr>
          <w:sz w:val="26"/>
          <w:szCs w:val="26"/>
          <w:lang w:val="es-MX"/>
        </w:rPr>
        <w:t>: (520) 628-7223</w:t>
      </w:r>
    </w:p>
    <w:p w:rsidR="00B553A9" w:rsidRPr="00EE7190" w:rsidRDefault="00903283" w:rsidP="00B553A9">
      <w:pPr>
        <w:rPr>
          <w:sz w:val="26"/>
          <w:szCs w:val="26"/>
          <w:lang w:val="es-MX"/>
        </w:rPr>
      </w:pPr>
      <w:r w:rsidRPr="00EE7190">
        <w:rPr>
          <w:sz w:val="26"/>
          <w:szCs w:val="26"/>
          <w:lang w:val="es-MX"/>
        </w:rPr>
        <w:t>Llamada</w:t>
      </w:r>
      <w:r w:rsidR="00EE7190">
        <w:rPr>
          <w:sz w:val="26"/>
          <w:szCs w:val="26"/>
          <w:lang w:val="es-MX"/>
        </w:rPr>
        <w:t xml:space="preserve"> </w:t>
      </w:r>
      <w:r w:rsidRPr="00EE7190">
        <w:rPr>
          <w:sz w:val="26"/>
          <w:szCs w:val="26"/>
          <w:lang w:val="es-MX"/>
        </w:rPr>
        <w:t>gratuita</w:t>
      </w:r>
      <w:r w:rsidR="00B553A9" w:rsidRPr="00EE7190">
        <w:rPr>
          <w:sz w:val="26"/>
          <w:szCs w:val="26"/>
          <w:lang w:val="es-MX"/>
        </w:rPr>
        <w:t>: (800) 771-9054</w:t>
      </w:r>
    </w:p>
    <w:p w:rsidR="00B553A9" w:rsidRPr="00EE7190" w:rsidRDefault="00B553A9" w:rsidP="00B553A9">
      <w:pPr>
        <w:rPr>
          <w:sz w:val="26"/>
          <w:szCs w:val="26"/>
          <w:lang w:val="es-MX"/>
        </w:rPr>
      </w:pPr>
    </w:p>
    <w:p w:rsidR="00903283" w:rsidRPr="00EE7190" w:rsidRDefault="00903283" w:rsidP="00B553A9">
      <w:pPr>
        <w:rPr>
          <w:b/>
          <w:sz w:val="26"/>
          <w:szCs w:val="26"/>
          <w:lang w:val="es-MX"/>
        </w:rPr>
      </w:pPr>
    </w:p>
    <w:p w:rsidR="00B553A9" w:rsidRPr="00EE7190" w:rsidRDefault="00224FFB" w:rsidP="00B553A9">
      <w:pPr>
        <w:rPr>
          <w:b/>
          <w:sz w:val="26"/>
          <w:szCs w:val="26"/>
          <w:lang w:val="es-MX"/>
        </w:rPr>
      </w:pPr>
      <w:r w:rsidRPr="00EE7190">
        <w:rPr>
          <w:b/>
          <w:sz w:val="26"/>
          <w:szCs w:val="26"/>
          <w:lang w:val="es-MX"/>
        </w:rPr>
        <w:lastRenderedPageBreak/>
        <w:t>Centro En Contra del Abuso Sexual del Sureste de Arizona</w:t>
      </w:r>
    </w:p>
    <w:p w:rsidR="00B553A9" w:rsidRPr="00EE7190" w:rsidRDefault="00B553A9" w:rsidP="00B553A9">
      <w:pPr>
        <w:rPr>
          <w:sz w:val="26"/>
          <w:szCs w:val="26"/>
        </w:rPr>
      </w:pPr>
      <w:r w:rsidRPr="00EE7190">
        <w:rPr>
          <w:sz w:val="26"/>
          <w:szCs w:val="26"/>
        </w:rPr>
        <w:t>1600 North Country Club Road</w:t>
      </w:r>
    </w:p>
    <w:p w:rsidR="00B553A9" w:rsidRPr="00EE7190" w:rsidRDefault="00B553A9" w:rsidP="00B553A9">
      <w:pPr>
        <w:rPr>
          <w:sz w:val="26"/>
          <w:szCs w:val="26"/>
        </w:rPr>
      </w:pPr>
      <w:r w:rsidRPr="00EE7190">
        <w:rPr>
          <w:sz w:val="26"/>
          <w:szCs w:val="26"/>
        </w:rPr>
        <w:t>Tucson, AZ 85716</w:t>
      </w:r>
    </w:p>
    <w:p w:rsidR="00B553A9" w:rsidRPr="00EE7190" w:rsidRDefault="00B553A9" w:rsidP="00B553A9">
      <w:pPr>
        <w:rPr>
          <w:sz w:val="26"/>
          <w:szCs w:val="26"/>
          <w:lang w:val="es-MX"/>
        </w:rPr>
      </w:pPr>
      <w:r w:rsidRPr="00EE7190">
        <w:rPr>
          <w:sz w:val="26"/>
          <w:szCs w:val="26"/>
          <w:lang w:val="es-MX"/>
        </w:rPr>
        <w:t>(520) 327-1171</w:t>
      </w:r>
    </w:p>
    <w:p w:rsidR="00B553A9" w:rsidRPr="00EE7190" w:rsidRDefault="00903283" w:rsidP="00B553A9">
      <w:pPr>
        <w:rPr>
          <w:sz w:val="26"/>
          <w:szCs w:val="26"/>
          <w:lang w:val="es-MX"/>
        </w:rPr>
      </w:pPr>
      <w:r w:rsidRPr="00EE7190">
        <w:rPr>
          <w:sz w:val="26"/>
          <w:szCs w:val="26"/>
          <w:lang w:val="es-MX"/>
        </w:rPr>
        <w:t>Línea de Crisis Bilingüe las 24-horas</w:t>
      </w:r>
      <w:r w:rsidR="00B553A9" w:rsidRPr="00EE7190">
        <w:rPr>
          <w:sz w:val="26"/>
          <w:szCs w:val="26"/>
          <w:lang w:val="es-MX"/>
        </w:rPr>
        <w:t>: (520) 327-7273</w:t>
      </w:r>
    </w:p>
    <w:p w:rsidR="00B553A9" w:rsidRPr="00EE7190" w:rsidRDefault="00903283" w:rsidP="00B553A9">
      <w:pPr>
        <w:rPr>
          <w:sz w:val="26"/>
          <w:szCs w:val="26"/>
          <w:lang w:val="es-MX"/>
        </w:rPr>
      </w:pPr>
      <w:r w:rsidRPr="00EE7190">
        <w:rPr>
          <w:sz w:val="26"/>
          <w:szCs w:val="26"/>
          <w:lang w:val="es-MX"/>
        </w:rPr>
        <w:t>Llamada gratuita</w:t>
      </w:r>
      <w:r w:rsidR="00EE7190">
        <w:rPr>
          <w:sz w:val="26"/>
          <w:szCs w:val="26"/>
          <w:lang w:val="es-MX"/>
        </w:rPr>
        <w:t xml:space="preserve"> </w:t>
      </w:r>
      <w:r w:rsidR="00B553A9" w:rsidRPr="00EE7190">
        <w:rPr>
          <w:sz w:val="26"/>
          <w:szCs w:val="26"/>
          <w:lang w:val="es-MX"/>
        </w:rPr>
        <w:t>24-Ho</w:t>
      </w:r>
      <w:r w:rsidRPr="00EE7190">
        <w:rPr>
          <w:sz w:val="26"/>
          <w:szCs w:val="26"/>
          <w:lang w:val="es-MX"/>
        </w:rPr>
        <w:t>ras Línea de Crisis Bilingüe</w:t>
      </w:r>
      <w:r w:rsidR="00B553A9" w:rsidRPr="00EE7190">
        <w:rPr>
          <w:sz w:val="26"/>
          <w:szCs w:val="26"/>
          <w:lang w:val="es-MX"/>
        </w:rPr>
        <w:t>: (800) 400-1001</w:t>
      </w:r>
    </w:p>
    <w:p w:rsidR="00B553A9" w:rsidRPr="00EE7190" w:rsidRDefault="00B553A9" w:rsidP="00B553A9">
      <w:pPr>
        <w:rPr>
          <w:sz w:val="26"/>
          <w:szCs w:val="26"/>
          <w:lang w:val="es-MX"/>
        </w:rPr>
      </w:pPr>
      <w:r w:rsidRPr="00EE7190">
        <w:rPr>
          <w:sz w:val="26"/>
          <w:szCs w:val="26"/>
          <w:lang w:val="es-MX"/>
        </w:rPr>
        <w:t xml:space="preserve">TTY </w:t>
      </w:r>
      <w:r w:rsidR="00903283" w:rsidRPr="00EE7190">
        <w:rPr>
          <w:sz w:val="26"/>
          <w:szCs w:val="26"/>
          <w:lang w:val="es-MX"/>
        </w:rPr>
        <w:t>Línea Directa</w:t>
      </w:r>
      <w:r w:rsidRPr="00EE7190">
        <w:rPr>
          <w:sz w:val="26"/>
          <w:szCs w:val="26"/>
          <w:lang w:val="es-MX"/>
        </w:rPr>
        <w:t>: (520) 327-1721 (</w:t>
      </w:r>
      <w:r w:rsidR="00903283" w:rsidRPr="00EE7190">
        <w:rPr>
          <w:sz w:val="26"/>
          <w:szCs w:val="26"/>
          <w:lang w:val="es-MX"/>
        </w:rPr>
        <w:t>Para Personas Sordas y Débiles Auditivos Solamente)</w:t>
      </w:r>
    </w:p>
    <w:p w:rsidR="00B553A9" w:rsidRPr="00EE7190" w:rsidRDefault="00B553A9" w:rsidP="00B553A9">
      <w:pPr>
        <w:rPr>
          <w:sz w:val="26"/>
          <w:szCs w:val="26"/>
          <w:lang w:val="es-MX"/>
        </w:rPr>
      </w:pPr>
    </w:p>
    <w:p w:rsidR="00B553A9" w:rsidRPr="00EE7190" w:rsidRDefault="00224FFB" w:rsidP="00B553A9">
      <w:pPr>
        <w:rPr>
          <w:sz w:val="26"/>
          <w:szCs w:val="26"/>
          <w:u w:val="single"/>
          <w:lang w:val="es-MX"/>
        </w:rPr>
      </w:pPr>
      <w:r w:rsidRPr="00EE7190">
        <w:rPr>
          <w:sz w:val="26"/>
          <w:szCs w:val="26"/>
          <w:u w:val="single"/>
          <w:lang w:val="es-MX"/>
        </w:rPr>
        <w:t>Condados de Yuma y</w:t>
      </w:r>
      <w:r w:rsidR="00EE7190">
        <w:rPr>
          <w:sz w:val="26"/>
          <w:szCs w:val="26"/>
          <w:u w:val="single"/>
          <w:lang w:val="es-MX"/>
        </w:rPr>
        <w:t xml:space="preserve"> </w:t>
      </w:r>
      <w:r w:rsidR="00B553A9" w:rsidRPr="00EE7190">
        <w:rPr>
          <w:sz w:val="26"/>
          <w:szCs w:val="26"/>
          <w:u w:val="single"/>
          <w:lang w:val="es-MX"/>
        </w:rPr>
        <w:t xml:space="preserve">La Paz </w:t>
      </w:r>
    </w:p>
    <w:p w:rsidR="00B553A9" w:rsidRPr="00EE7190" w:rsidRDefault="00224FFB" w:rsidP="00B553A9">
      <w:pPr>
        <w:rPr>
          <w:b/>
          <w:sz w:val="26"/>
          <w:szCs w:val="26"/>
          <w:lang w:val="es-MX"/>
        </w:rPr>
      </w:pPr>
      <w:r w:rsidRPr="00EE7190">
        <w:rPr>
          <w:b/>
          <w:sz w:val="26"/>
          <w:szCs w:val="26"/>
          <w:lang w:val="es-MX"/>
        </w:rPr>
        <w:t xml:space="preserve">Servicios de la </w:t>
      </w:r>
      <w:proofErr w:type="spellStart"/>
      <w:r w:rsidRPr="00EE7190">
        <w:rPr>
          <w:b/>
          <w:sz w:val="26"/>
          <w:szCs w:val="26"/>
          <w:lang w:val="es-MX"/>
        </w:rPr>
        <w:t>Comundad</w:t>
      </w:r>
      <w:proofErr w:type="spellEnd"/>
      <w:r w:rsidRPr="00EE7190">
        <w:rPr>
          <w:b/>
          <w:sz w:val="26"/>
          <w:szCs w:val="26"/>
          <w:lang w:val="es-MX"/>
        </w:rPr>
        <w:t xml:space="preserve"> Católica en el Poniente de Arizona</w:t>
      </w:r>
    </w:p>
    <w:p w:rsidR="00B553A9" w:rsidRPr="00EE7190" w:rsidRDefault="00B553A9" w:rsidP="00B553A9">
      <w:pPr>
        <w:rPr>
          <w:sz w:val="26"/>
          <w:szCs w:val="26"/>
        </w:rPr>
      </w:pPr>
      <w:r w:rsidRPr="00EE7190">
        <w:rPr>
          <w:sz w:val="26"/>
          <w:szCs w:val="26"/>
        </w:rPr>
        <w:t>690 E. 32</w:t>
      </w:r>
      <w:r w:rsidRPr="00EE7190">
        <w:rPr>
          <w:sz w:val="26"/>
          <w:szCs w:val="26"/>
          <w:vertAlign w:val="superscript"/>
        </w:rPr>
        <w:t>nd</w:t>
      </w:r>
      <w:r w:rsidRPr="00EE7190">
        <w:rPr>
          <w:sz w:val="26"/>
          <w:szCs w:val="26"/>
        </w:rPr>
        <w:t xml:space="preserve"> Street</w:t>
      </w:r>
    </w:p>
    <w:p w:rsidR="00B553A9" w:rsidRPr="00EE7190" w:rsidRDefault="00B553A9" w:rsidP="00B553A9">
      <w:pPr>
        <w:rPr>
          <w:sz w:val="26"/>
          <w:szCs w:val="26"/>
        </w:rPr>
      </w:pPr>
      <w:r w:rsidRPr="00EE7190">
        <w:rPr>
          <w:sz w:val="26"/>
          <w:szCs w:val="26"/>
        </w:rPr>
        <w:t>Yuma, AZ 85356</w:t>
      </w:r>
    </w:p>
    <w:p w:rsidR="00B553A9" w:rsidRPr="00EE7190" w:rsidRDefault="00B553A9" w:rsidP="00B553A9">
      <w:pPr>
        <w:rPr>
          <w:sz w:val="26"/>
          <w:szCs w:val="26"/>
          <w:lang w:val="es-MX"/>
        </w:rPr>
      </w:pPr>
      <w:r w:rsidRPr="00EE7190">
        <w:rPr>
          <w:sz w:val="26"/>
          <w:szCs w:val="26"/>
          <w:lang w:val="es-MX"/>
        </w:rPr>
        <w:t>24-</w:t>
      </w:r>
      <w:r w:rsidR="00903283" w:rsidRPr="00EE7190">
        <w:rPr>
          <w:sz w:val="26"/>
          <w:szCs w:val="26"/>
          <w:lang w:val="es-MX"/>
        </w:rPr>
        <w:t xml:space="preserve"> Horas Línea Directa</w:t>
      </w:r>
      <w:r w:rsidRPr="00EE7190">
        <w:rPr>
          <w:sz w:val="26"/>
          <w:szCs w:val="26"/>
          <w:lang w:val="es-MX"/>
        </w:rPr>
        <w:t>: (877) 440-0550</w:t>
      </w:r>
    </w:p>
    <w:p w:rsidR="00B553A9" w:rsidRPr="00EE7190" w:rsidRDefault="00B553A9" w:rsidP="00B553A9">
      <w:pPr>
        <w:rPr>
          <w:sz w:val="26"/>
          <w:szCs w:val="26"/>
          <w:lang w:val="es-MX"/>
        </w:rPr>
      </w:pPr>
    </w:p>
    <w:p w:rsidR="00B553A9" w:rsidRPr="00EE7190" w:rsidRDefault="00224FFB" w:rsidP="00B553A9">
      <w:pPr>
        <w:rPr>
          <w:sz w:val="26"/>
          <w:szCs w:val="26"/>
          <w:u w:val="single"/>
          <w:lang w:val="es-MX"/>
        </w:rPr>
      </w:pPr>
      <w:r w:rsidRPr="00EE7190">
        <w:rPr>
          <w:sz w:val="26"/>
          <w:szCs w:val="26"/>
          <w:u w:val="single"/>
          <w:lang w:val="es-MX"/>
        </w:rPr>
        <w:t xml:space="preserve">Tucson, El Sur de </w:t>
      </w:r>
      <w:r w:rsidR="00B553A9" w:rsidRPr="00EE7190">
        <w:rPr>
          <w:sz w:val="26"/>
          <w:szCs w:val="26"/>
          <w:u w:val="single"/>
          <w:lang w:val="es-MX"/>
        </w:rPr>
        <w:t>Tucson, Nogales</w:t>
      </w:r>
    </w:p>
    <w:p w:rsidR="00B553A9" w:rsidRPr="00EE7190" w:rsidRDefault="00224FFB" w:rsidP="00B553A9">
      <w:pPr>
        <w:rPr>
          <w:b/>
          <w:sz w:val="26"/>
          <w:szCs w:val="26"/>
          <w:lang w:val="es-MX"/>
        </w:rPr>
      </w:pPr>
      <w:r w:rsidRPr="00EE7190">
        <w:rPr>
          <w:b/>
          <w:sz w:val="26"/>
          <w:szCs w:val="26"/>
          <w:lang w:val="es-MX"/>
        </w:rPr>
        <w:t>Programa de Consejería,</w:t>
      </w:r>
      <w:r w:rsidR="00EE7190">
        <w:rPr>
          <w:b/>
          <w:sz w:val="26"/>
          <w:szCs w:val="26"/>
          <w:lang w:val="es-MX"/>
        </w:rPr>
        <w:t xml:space="preserve"> </w:t>
      </w:r>
      <w:r w:rsidRPr="00EE7190">
        <w:rPr>
          <w:b/>
          <w:sz w:val="26"/>
          <w:szCs w:val="26"/>
          <w:lang w:val="es-MX"/>
        </w:rPr>
        <w:t>Servicios Sociales Católicos</w:t>
      </w:r>
    </w:p>
    <w:p w:rsidR="00B553A9" w:rsidRPr="00EE7190" w:rsidRDefault="00B553A9" w:rsidP="00B553A9">
      <w:pPr>
        <w:rPr>
          <w:sz w:val="26"/>
          <w:szCs w:val="26"/>
          <w:lang w:val="es-MX"/>
        </w:rPr>
      </w:pPr>
      <w:r w:rsidRPr="00EE7190">
        <w:rPr>
          <w:sz w:val="26"/>
          <w:szCs w:val="26"/>
          <w:lang w:val="es-MX"/>
        </w:rPr>
        <w:t xml:space="preserve">140 West </w:t>
      </w:r>
      <w:proofErr w:type="spellStart"/>
      <w:r w:rsidRPr="00EE7190">
        <w:rPr>
          <w:sz w:val="26"/>
          <w:szCs w:val="26"/>
          <w:lang w:val="es-MX"/>
        </w:rPr>
        <w:t>Speedway</w:t>
      </w:r>
      <w:proofErr w:type="spellEnd"/>
      <w:r w:rsidRPr="00EE7190">
        <w:rPr>
          <w:sz w:val="26"/>
          <w:szCs w:val="26"/>
          <w:lang w:val="es-MX"/>
        </w:rPr>
        <w:t>, #130</w:t>
      </w:r>
    </w:p>
    <w:p w:rsidR="00B553A9" w:rsidRPr="00EE7190" w:rsidRDefault="00B553A9" w:rsidP="00B553A9">
      <w:pPr>
        <w:rPr>
          <w:sz w:val="26"/>
          <w:szCs w:val="26"/>
          <w:lang w:val="es-MX"/>
        </w:rPr>
      </w:pPr>
      <w:r w:rsidRPr="00EE7190">
        <w:rPr>
          <w:sz w:val="26"/>
          <w:szCs w:val="26"/>
          <w:lang w:val="es-MX"/>
        </w:rPr>
        <w:t xml:space="preserve">Tucson, </w:t>
      </w:r>
      <w:proofErr w:type="spellStart"/>
      <w:r w:rsidRPr="00EE7190">
        <w:rPr>
          <w:sz w:val="26"/>
          <w:szCs w:val="26"/>
          <w:lang w:val="es-MX"/>
        </w:rPr>
        <w:t>AZ</w:t>
      </w:r>
      <w:proofErr w:type="spellEnd"/>
      <w:r w:rsidRPr="00EE7190">
        <w:rPr>
          <w:sz w:val="26"/>
          <w:szCs w:val="26"/>
          <w:lang w:val="es-MX"/>
        </w:rPr>
        <w:t xml:space="preserve"> 85705</w:t>
      </w:r>
    </w:p>
    <w:p w:rsidR="00B553A9" w:rsidRPr="00EE7190" w:rsidRDefault="00B553A9" w:rsidP="00B553A9">
      <w:pPr>
        <w:rPr>
          <w:sz w:val="26"/>
          <w:szCs w:val="26"/>
          <w:lang w:val="es-MX"/>
        </w:rPr>
      </w:pPr>
      <w:r w:rsidRPr="00EE7190">
        <w:rPr>
          <w:sz w:val="26"/>
          <w:szCs w:val="26"/>
          <w:lang w:val="es-MX"/>
        </w:rPr>
        <w:t>(520) 623-0344</w:t>
      </w:r>
    </w:p>
    <w:p w:rsidR="00B553A9" w:rsidRPr="00EE7190" w:rsidRDefault="00B553A9" w:rsidP="00B553A9">
      <w:pPr>
        <w:rPr>
          <w:sz w:val="26"/>
          <w:szCs w:val="26"/>
          <w:lang w:val="es-MX"/>
        </w:rPr>
      </w:pPr>
    </w:p>
    <w:p w:rsidR="00B553A9" w:rsidRPr="00EE7190" w:rsidRDefault="00B553A9" w:rsidP="00B553A9">
      <w:pPr>
        <w:rPr>
          <w:sz w:val="26"/>
          <w:szCs w:val="26"/>
          <w:u w:val="single"/>
          <w:lang w:val="es-MX"/>
        </w:rPr>
      </w:pPr>
      <w:proofErr w:type="spellStart"/>
      <w:r w:rsidRPr="00EE7190">
        <w:rPr>
          <w:sz w:val="26"/>
          <w:szCs w:val="26"/>
          <w:u w:val="single"/>
          <w:lang w:val="es-MX"/>
        </w:rPr>
        <w:t>Kingman</w:t>
      </w:r>
      <w:proofErr w:type="spellEnd"/>
      <w:r w:rsidRPr="00EE7190">
        <w:rPr>
          <w:sz w:val="26"/>
          <w:szCs w:val="26"/>
          <w:u w:val="single"/>
          <w:lang w:val="es-MX"/>
        </w:rPr>
        <w:t>,</w:t>
      </w:r>
      <w:r w:rsidR="00EE7190">
        <w:rPr>
          <w:sz w:val="26"/>
          <w:szCs w:val="26"/>
          <w:u w:val="single"/>
          <w:lang w:val="es-MX"/>
        </w:rPr>
        <w:t xml:space="preserve"> </w:t>
      </w:r>
      <w:r w:rsidR="00224FFB" w:rsidRPr="00EE7190">
        <w:rPr>
          <w:sz w:val="26"/>
          <w:szCs w:val="26"/>
          <w:u w:val="single"/>
          <w:lang w:val="es-MX"/>
        </w:rPr>
        <w:t xml:space="preserve">Condado de </w:t>
      </w:r>
      <w:proofErr w:type="spellStart"/>
      <w:r w:rsidR="00224FFB" w:rsidRPr="00EE7190">
        <w:rPr>
          <w:sz w:val="26"/>
          <w:szCs w:val="26"/>
          <w:u w:val="single"/>
          <w:lang w:val="es-MX"/>
        </w:rPr>
        <w:t>Mohave</w:t>
      </w:r>
      <w:proofErr w:type="spellEnd"/>
      <w:r w:rsidRPr="00EE7190">
        <w:rPr>
          <w:sz w:val="26"/>
          <w:szCs w:val="26"/>
          <w:u w:val="single"/>
          <w:lang w:val="es-MX"/>
        </w:rPr>
        <w:t>,</w:t>
      </w:r>
      <w:r w:rsidR="00224FFB" w:rsidRPr="00EE7190">
        <w:rPr>
          <w:sz w:val="26"/>
          <w:szCs w:val="26"/>
          <w:u w:val="single"/>
          <w:lang w:val="es-MX"/>
        </w:rPr>
        <w:t xml:space="preserve"> áreas adyacentes en el Noroeste de A</w:t>
      </w:r>
      <w:r w:rsidRPr="00EE7190">
        <w:rPr>
          <w:sz w:val="26"/>
          <w:szCs w:val="26"/>
          <w:u w:val="single"/>
          <w:lang w:val="es-MX"/>
        </w:rPr>
        <w:t>rizona</w:t>
      </w:r>
    </w:p>
    <w:p w:rsidR="00B553A9" w:rsidRPr="00EE7190" w:rsidRDefault="00224FFB" w:rsidP="00B553A9">
      <w:pPr>
        <w:rPr>
          <w:b/>
          <w:sz w:val="26"/>
          <w:szCs w:val="26"/>
          <w:lang w:val="es-MX"/>
        </w:rPr>
      </w:pPr>
      <w:proofErr w:type="spellStart"/>
      <w:r w:rsidRPr="00EE7190">
        <w:rPr>
          <w:b/>
          <w:sz w:val="26"/>
          <w:szCs w:val="26"/>
          <w:lang w:val="es-MX"/>
        </w:rPr>
        <w:t>Axulio</w:t>
      </w:r>
      <w:proofErr w:type="spellEnd"/>
      <w:r w:rsidRPr="00EE7190">
        <w:rPr>
          <w:b/>
          <w:sz w:val="26"/>
          <w:szCs w:val="26"/>
          <w:lang w:val="es-MX"/>
        </w:rPr>
        <w:t xml:space="preserve"> </w:t>
      </w:r>
      <w:proofErr w:type="spellStart"/>
      <w:r w:rsidR="00B553A9" w:rsidRPr="00EE7190">
        <w:rPr>
          <w:b/>
          <w:sz w:val="26"/>
          <w:szCs w:val="26"/>
          <w:lang w:val="es-MX"/>
        </w:rPr>
        <w:t>Kingman</w:t>
      </w:r>
      <w:proofErr w:type="spellEnd"/>
      <w:r w:rsidR="00B553A9" w:rsidRPr="00EE7190">
        <w:rPr>
          <w:b/>
          <w:sz w:val="26"/>
          <w:szCs w:val="26"/>
          <w:lang w:val="es-MX"/>
        </w:rPr>
        <w:t xml:space="preserve"> </w:t>
      </w:r>
      <w:r w:rsidRPr="00EE7190">
        <w:rPr>
          <w:b/>
          <w:sz w:val="26"/>
          <w:szCs w:val="26"/>
          <w:lang w:val="es-MX"/>
        </w:rPr>
        <w:t>para Personas Abusadas</w:t>
      </w:r>
    </w:p>
    <w:p w:rsidR="00B553A9" w:rsidRPr="00EE7190" w:rsidRDefault="00B553A9" w:rsidP="00B553A9">
      <w:pPr>
        <w:rPr>
          <w:sz w:val="26"/>
          <w:szCs w:val="26"/>
          <w:lang w:val="es-MX"/>
        </w:rPr>
      </w:pPr>
      <w:r w:rsidRPr="00EE7190">
        <w:rPr>
          <w:sz w:val="26"/>
          <w:szCs w:val="26"/>
          <w:lang w:val="es-MX"/>
        </w:rPr>
        <w:t>P.O. Box 1046</w:t>
      </w:r>
    </w:p>
    <w:p w:rsidR="00B553A9" w:rsidRPr="00EE7190" w:rsidRDefault="00B553A9" w:rsidP="00B553A9">
      <w:pPr>
        <w:rPr>
          <w:sz w:val="26"/>
          <w:szCs w:val="26"/>
        </w:rPr>
      </w:pPr>
      <w:r w:rsidRPr="00EE7190">
        <w:rPr>
          <w:sz w:val="26"/>
          <w:szCs w:val="26"/>
        </w:rPr>
        <w:t>Kingman, AZ 86402</w:t>
      </w:r>
    </w:p>
    <w:p w:rsidR="00B553A9" w:rsidRPr="00EE7190" w:rsidRDefault="00B553A9" w:rsidP="00B553A9">
      <w:pPr>
        <w:rPr>
          <w:sz w:val="26"/>
          <w:szCs w:val="26"/>
        </w:rPr>
      </w:pPr>
      <w:r w:rsidRPr="00EE7190">
        <w:rPr>
          <w:sz w:val="26"/>
          <w:szCs w:val="26"/>
        </w:rPr>
        <w:t>Office: (928) 753-6222</w:t>
      </w:r>
    </w:p>
    <w:p w:rsidR="00B553A9" w:rsidRPr="00EE7190" w:rsidRDefault="00B553A9" w:rsidP="00B553A9">
      <w:pPr>
        <w:rPr>
          <w:sz w:val="26"/>
          <w:szCs w:val="26"/>
        </w:rPr>
      </w:pPr>
      <w:r w:rsidRPr="00EE7190">
        <w:rPr>
          <w:sz w:val="26"/>
          <w:szCs w:val="26"/>
        </w:rPr>
        <w:t>24-Hour Hotline: (928) 753-4242</w:t>
      </w:r>
    </w:p>
    <w:p w:rsidR="00B553A9" w:rsidRPr="00EE7190" w:rsidRDefault="00B553A9" w:rsidP="00B553A9">
      <w:pPr>
        <w:rPr>
          <w:b/>
          <w:sz w:val="26"/>
          <w:szCs w:val="26"/>
        </w:rPr>
      </w:pPr>
    </w:p>
    <w:p w:rsidR="00B553A9" w:rsidRPr="00EE7190" w:rsidRDefault="00B553A9" w:rsidP="00B553A9">
      <w:pPr>
        <w:rPr>
          <w:b/>
          <w:sz w:val="26"/>
          <w:szCs w:val="26"/>
          <w:u w:val="single"/>
        </w:rPr>
      </w:pPr>
      <w:r w:rsidRPr="00EE7190">
        <w:rPr>
          <w:sz w:val="26"/>
          <w:szCs w:val="26"/>
          <w:u w:val="single"/>
        </w:rPr>
        <w:t xml:space="preserve">Flagstaff, Seligman, Ash Fork, Grand Canyon, Winslow, St. Johns, </w:t>
      </w:r>
      <w:proofErr w:type="spellStart"/>
      <w:r w:rsidRPr="00EE7190">
        <w:rPr>
          <w:sz w:val="26"/>
          <w:szCs w:val="26"/>
          <w:u w:val="single"/>
        </w:rPr>
        <w:t>Spr</w:t>
      </w:r>
      <w:r w:rsidR="00224FFB" w:rsidRPr="00EE7190">
        <w:rPr>
          <w:sz w:val="26"/>
          <w:szCs w:val="26"/>
          <w:u w:val="single"/>
        </w:rPr>
        <w:t>ingerville</w:t>
      </w:r>
      <w:proofErr w:type="spellEnd"/>
      <w:r w:rsidR="00224FFB" w:rsidRPr="00EE7190">
        <w:rPr>
          <w:sz w:val="26"/>
          <w:szCs w:val="26"/>
          <w:u w:val="single"/>
        </w:rPr>
        <w:t xml:space="preserve">/Eager, Holbrook, y </w:t>
      </w:r>
      <w:r w:rsidRPr="00EE7190">
        <w:rPr>
          <w:sz w:val="26"/>
          <w:szCs w:val="26"/>
          <w:u w:val="single"/>
        </w:rPr>
        <w:t>Kingman</w:t>
      </w:r>
    </w:p>
    <w:p w:rsidR="00B553A9" w:rsidRPr="00EE7190" w:rsidRDefault="00224FFB" w:rsidP="00B553A9">
      <w:pPr>
        <w:rPr>
          <w:sz w:val="26"/>
          <w:szCs w:val="26"/>
          <w:lang w:val="es-MX"/>
        </w:rPr>
      </w:pPr>
      <w:r w:rsidRPr="00EE7190">
        <w:rPr>
          <w:b/>
          <w:sz w:val="26"/>
          <w:szCs w:val="26"/>
          <w:lang w:val="es-MX"/>
        </w:rPr>
        <w:t>Centro de Salud del Norte /Centro en Contra de la Agresión Sexual del Norte de Arizona</w:t>
      </w:r>
    </w:p>
    <w:p w:rsidR="00B553A9" w:rsidRPr="00EE7190" w:rsidRDefault="00B553A9" w:rsidP="00B553A9">
      <w:pPr>
        <w:rPr>
          <w:sz w:val="26"/>
          <w:szCs w:val="26"/>
        </w:rPr>
      </w:pPr>
      <w:r w:rsidRPr="00EE7190">
        <w:rPr>
          <w:sz w:val="26"/>
          <w:szCs w:val="26"/>
        </w:rPr>
        <w:t>2920 N. 4</w:t>
      </w:r>
      <w:r w:rsidRPr="00EE7190">
        <w:rPr>
          <w:sz w:val="26"/>
          <w:szCs w:val="26"/>
          <w:vertAlign w:val="superscript"/>
        </w:rPr>
        <w:t>th</w:t>
      </w:r>
      <w:r w:rsidRPr="00EE7190">
        <w:rPr>
          <w:sz w:val="26"/>
          <w:szCs w:val="26"/>
        </w:rPr>
        <w:t xml:space="preserve"> Street</w:t>
      </w:r>
    </w:p>
    <w:p w:rsidR="00B553A9" w:rsidRPr="00EE7190" w:rsidRDefault="00B553A9" w:rsidP="00B553A9">
      <w:pPr>
        <w:rPr>
          <w:sz w:val="26"/>
          <w:szCs w:val="26"/>
        </w:rPr>
      </w:pPr>
      <w:r w:rsidRPr="00EE7190">
        <w:rPr>
          <w:sz w:val="26"/>
          <w:szCs w:val="26"/>
        </w:rPr>
        <w:t>Flagstaff, AZ 86004</w:t>
      </w:r>
    </w:p>
    <w:p w:rsidR="00B553A9" w:rsidRPr="00EE7190" w:rsidRDefault="00B553A9" w:rsidP="00B553A9">
      <w:pPr>
        <w:rPr>
          <w:sz w:val="26"/>
          <w:szCs w:val="26"/>
        </w:rPr>
      </w:pPr>
      <w:r w:rsidRPr="00EE7190">
        <w:rPr>
          <w:sz w:val="26"/>
          <w:szCs w:val="26"/>
        </w:rPr>
        <w:t>Office: (928) 213-6112</w:t>
      </w:r>
    </w:p>
    <w:sectPr w:rsidR="00B553A9" w:rsidRPr="00EE7190" w:rsidSect="00E14525">
      <w:headerReference w:type="default" r:id="rId19"/>
      <w:headerReference w:type="first" r:id="rId20"/>
      <w:footerReference w:type="first" r:id="rId21"/>
      <w:pgSz w:w="12240" w:h="15840" w:code="1"/>
      <w:pgMar w:top="1440" w:right="1440" w:bottom="1440" w:left="1440" w:header="86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07" w:rsidRDefault="00384407">
      <w:r>
        <w:separator/>
      </w:r>
    </w:p>
  </w:endnote>
  <w:endnote w:type="continuationSeparator" w:id="0">
    <w:p w:rsidR="00384407" w:rsidRDefault="0038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Goudy Old Style">
    <w:altName w:val="Bell MT"/>
    <w:panose1 w:val="02020502050305020303"/>
    <w:charset w:val="00"/>
    <w:family w:val="roman"/>
    <w:pitch w:val="variable"/>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83" w:rsidRDefault="00903283" w:rsidP="006E627E">
    <w:pPr>
      <w:pStyle w:val="Footer"/>
      <w:jc w:val="center"/>
      <w:rPr>
        <w:rFonts w:ascii="Goudy Old Style" w:hAnsi="Goudy Old Style"/>
        <w:b/>
        <w:sz w:val="18"/>
        <w:szCs w:val="18"/>
      </w:rPr>
    </w:pPr>
  </w:p>
  <w:p w:rsidR="00903283" w:rsidRDefault="00903283" w:rsidP="006E627E">
    <w:pPr>
      <w:pStyle w:val="Footer"/>
      <w:jc w:val="center"/>
      <w:rPr>
        <w:rFonts w:ascii="Goudy Old Style" w:hAnsi="Goudy Old Style"/>
        <w:b/>
        <w:sz w:val="18"/>
        <w:szCs w:val="18"/>
      </w:rPr>
    </w:pPr>
  </w:p>
  <w:p w:rsidR="00903283" w:rsidRDefault="00903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83" w:rsidRPr="00D92C6A" w:rsidRDefault="00903283" w:rsidP="00905CC0">
    <w:pPr>
      <w:pStyle w:val="Footer"/>
      <w:tabs>
        <w:tab w:val="clear" w:pos="4320"/>
      </w:tabs>
      <w:ind w:left="-360"/>
      <w:jc w:val="center"/>
      <w:rPr>
        <w:rFonts w:ascii="Goudy Old Style" w:hAnsi="Goudy Old Style"/>
        <w:b/>
        <w:sz w:val="18"/>
        <w:szCs w:val="18"/>
      </w:rPr>
    </w:pPr>
    <w:r w:rsidRPr="00D92C6A">
      <w:rPr>
        <w:rFonts w:ascii="Goudy Old Style" w:hAnsi="Goudy Old Style"/>
        <w:b/>
        <w:sz w:val="18"/>
        <w:szCs w:val="18"/>
      </w:rPr>
      <w:t>Board of Directors</w:t>
    </w:r>
  </w:p>
  <w:p w:rsidR="00903283" w:rsidRDefault="00903283" w:rsidP="00905CC0">
    <w:pPr>
      <w:pStyle w:val="Footer"/>
      <w:tabs>
        <w:tab w:val="clear" w:pos="4320"/>
      </w:tabs>
      <w:ind w:left="-360"/>
      <w:jc w:val="center"/>
      <w:rPr>
        <w:rFonts w:ascii="Goudy Old Style" w:hAnsi="Goudy Old Style"/>
        <w:sz w:val="18"/>
        <w:szCs w:val="18"/>
      </w:rPr>
    </w:pPr>
    <w:r>
      <w:rPr>
        <w:rFonts w:ascii="Goudy Old Style" w:hAnsi="Goudy Old Style"/>
        <w:sz w:val="18"/>
        <w:szCs w:val="18"/>
      </w:rPr>
      <w:t>Penelope Cooper</w:t>
    </w:r>
    <w:r w:rsidRPr="00A2056A">
      <w:rPr>
        <w:rFonts w:ascii="Goudy Old Style" w:hAnsi="Goudy Old Style"/>
        <w:sz w:val="18"/>
        <w:szCs w:val="18"/>
      </w:rPr>
      <w:t xml:space="preserve">, President </w:t>
    </w:r>
    <w:r w:rsidRPr="00A2056A">
      <w:rPr>
        <w:rFonts w:ascii="Goudy Old Style" w:hAnsi="Goudy Old Style"/>
        <w:sz w:val="18"/>
        <w:szCs w:val="18"/>
      </w:rPr>
      <w:sym w:font="Wingdings" w:char="F09F"/>
    </w:r>
    <w:r w:rsidRPr="00A2056A">
      <w:rPr>
        <w:rFonts w:ascii="Goudy Old Style" w:hAnsi="Goudy Old Style"/>
        <w:sz w:val="18"/>
        <w:szCs w:val="18"/>
      </w:rPr>
      <w:t xml:space="preserve"> Michele </w:t>
    </w:r>
    <w:proofErr w:type="spellStart"/>
    <w:r w:rsidRPr="00A2056A">
      <w:rPr>
        <w:rFonts w:ascii="Goudy Old Style" w:hAnsi="Goudy Old Style"/>
        <w:sz w:val="18"/>
        <w:szCs w:val="18"/>
      </w:rPr>
      <w:t>WalkinHawk</w:t>
    </w:r>
    <w:proofErr w:type="spellEnd"/>
    <w:r w:rsidRPr="00A2056A">
      <w:rPr>
        <w:rFonts w:ascii="Goudy Old Style" w:hAnsi="Goudy Old Style"/>
        <w:sz w:val="18"/>
        <w:szCs w:val="18"/>
      </w:rPr>
      <w:t>, Vice President</w:t>
    </w:r>
    <w:r>
      <w:rPr>
        <w:rFonts w:ascii="Goudy Old Style" w:hAnsi="Goudy Old Style"/>
        <w:sz w:val="18"/>
        <w:szCs w:val="18"/>
      </w:rPr>
      <w:t xml:space="preserve"> • Marshall Krause, Treasurer</w:t>
    </w:r>
    <w:r w:rsidR="00EE7190">
      <w:rPr>
        <w:rFonts w:ascii="Goudy Old Style" w:hAnsi="Goudy Old Style"/>
        <w:sz w:val="18"/>
        <w:szCs w:val="18"/>
      </w:rPr>
      <w:t xml:space="preserve"> </w:t>
    </w:r>
  </w:p>
  <w:p w:rsidR="00903283" w:rsidRDefault="00903283" w:rsidP="00A22E12">
    <w:pPr>
      <w:pStyle w:val="Footer"/>
      <w:tabs>
        <w:tab w:val="clear" w:pos="4320"/>
      </w:tabs>
      <w:ind w:left="-360"/>
      <w:jc w:val="center"/>
    </w:pPr>
    <w:r>
      <w:rPr>
        <w:rFonts w:ascii="Goudy Old Style" w:hAnsi="Goudy Old Style"/>
        <w:sz w:val="18"/>
        <w:szCs w:val="18"/>
      </w:rPr>
      <w:t xml:space="preserve">Harlan </w:t>
    </w:r>
    <w:r w:rsidRPr="00D92C6A">
      <w:rPr>
        <w:rFonts w:ascii="Goudy Old Style" w:hAnsi="Goudy Old Style"/>
        <w:sz w:val="18"/>
        <w:szCs w:val="18"/>
      </w:rPr>
      <w:t>Grossman</w:t>
    </w:r>
    <w:r>
      <w:rPr>
        <w:rFonts w:ascii="GoudyOldStyleT-Regular" w:hAnsi="GoudyOldStyleT-Regular" w:cs="GoudyOldStyleT-Regular"/>
        <w:sz w:val="18"/>
        <w:szCs w:val="18"/>
      </w:rPr>
      <w:t xml:space="preserve"> • </w:t>
    </w:r>
    <w:r w:rsidRPr="00A2056A">
      <w:rPr>
        <w:rFonts w:ascii="Goudy Old Style" w:hAnsi="Goudy Old Style"/>
        <w:sz w:val="18"/>
        <w:szCs w:val="18"/>
      </w:rPr>
      <w:t>Christi</w:t>
    </w:r>
    <w:r>
      <w:rPr>
        <w:rFonts w:ascii="Goudy Old Style" w:hAnsi="Goudy Old Style"/>
        <w:sz w:val="18"/>
        <w:szCs w:val="18"/>
      </w:rPr>
      <w:t>a</w:t>
    </w:r>
    <w:r w:rsidRPr="00A2056A">
      <w:rPr>
        <w:rFonts w:ascii="Goudy Old Style" w:hAnsi="Goudy Old Style"/>
        <w:sz w:val="18"/>
        <w:szCs w:val="18"/>
      </w:rPr>
      <w:t xml:space="preserve">ne </w:t>
    </w:r>
    <w:proofErr w:type="spellStart"/>
    <w:r w:rsidRPr="00A2056A">
      <w:rPr>
        <w:rFonts w:ascii="Goudy Old Style" w:hAnsi="Goudy Old Style"/>
        <w:sz w:val="18"/>
        <w:szCs w:val="18"/>
      </w:rPr>
      <w:t>Hipps</w:t>
    </w:r>
    <w:proofErr w:type="spellEnd"/>
    <w:r w:rsidRPr="00A2056A">
      <w:rPr>
        <w:rFonts w:ascii="Goudy Old Style" w:hAnsi="Goudy Old Style"/>
        <w:sz w:val="18"/>
        <w:szCs w:val="18"/>
      </w:rPr>
      <w:t xml:space="preserve"> </w:t>
    </w:r>
    <w:r w:rsidRPr="00A2056A">
      <w:rPr>
        <w:rFonts w:ascii="Goudy Old Style" w:hAnsi="Goudy Old Style"/>
        <w:sz w:val="18"/>
        <w:szCs w:val="18"/>
      </w:rPr>
      <w:sym w:font="Wingdings" w:char="F09F"/>
    </w:r>
    <w:r w:rsidRPr="00A2056A">
      <w:rPr>
        <w:rFonts w:ascii="Goudy Old Style" w:hAnsi="Goudy Old Style"/>
        <w:sz w:val="18"/>
        <w:szCs w:val="18"/>
      </w:rPr>
      <w:t xml:space="preserve"> Margaret Johns</w:t>
    </w:r>
    <w:r>
      <w:rPr>
        <w:rFonts w:ascii="Goudy Old Style" w:hAnsi="Goudy Old Style"/>
        <w:sz w:val="18"/>
        <w:szCs w:val="18"/>
      </w:rPr>
      <w:t xml:space="preserve"> • </w:t>
    </w:r>
    <w:r w:rsidRPr="00A2056A">
      <w:rPr>
        <w:rFonts w:ascii="Goudy Old Style" w:hAnsi="Goudy Old Style"/>
        <w:sz w:val="18"/>
        <w:szCs w:val="18"/>
      </w:rPr>
      <w:t xml:space="preserve">Cesar </w:t>
    </w:r>
    <w:proofErr w:type="spellStart"/>
    <w:r w:rsidRPr="00A2056A">
      <w:rPr>
        <w:rFonts w:ascii="Goudy Old Style" w:hAnsi="Goudy Old Style"/>
        <w:sz w:val="18"/>
        <w:szCs w:val="18"/>
      </w:rPr>
      <w:t>Lagleva</w:t>
    </w:r>
    <w:proofErr w:type="spellEnd"/>
    <w:r w:rsidR="00EE7190">
      <w:rPr>
        <w:rFonts w:ascii="Goudy Old Style" w:hAnsi="Goudy Old Style"/>
        <w:sz w:val="18"/>
        <w:szCs w:val="18"/>
      </w:rPr>
      <w:t xml:space="preserve"> </w:t>
    </w:r>
    <w:r w:rsidRPr="00A2056A">
      <w:rPr>
        <w:rFonts w:ascii="Goudy Old Style" w:hAnsi="Goudy Old Style"/>
        <w:sz w:val="18"/>
        <w:szCs w:val="18"/>
      </w:rPr>
      <w:sym w:font="Wingdings" w:char="F09F"/>
    </w:r>
    <w:r>
      <w:rPr>
        <w:rFonts w:ascii="Goudy Old Style" w:hAnsi="Goudy Old Style"/>
        <w:sz w:val="18"/>
        <w:szCs w:val="18"/>
      </w:rPr>
      <w:t xml:space="preserve"> </w:t>
    </w:r>
    <w:r w:rsidRPr="000D1414">
      <w:rPr>
        <w:rFonts w:ascii="Goudy Old Style" w:hAnsi="Goudy Old Style"/>
        <w:sz w:val="18"/>
        <w:szCs w:val="18"/>
      </w:rPr>
      <w:t>Jean Lu</w:t>
    </w:r>
  </w:p>
  <w:p w:rsidR="00903283" w:rsidRPr="000D1414" w:rsidRDefault="00903283" w:rsidP="000D1414">
    <w:pPr>
      <w:pStyle w:val="Footer"/>
      <w:ind w:left="-360"/>
      <w:jc w:val="center"/>
      <w:rPr>
        <w:rFonts w:ascii="Goudy Old Style" w:hAnsi="Goudy Old Style"/>
        <w:sz w:val="18"/>
        <w:szCs w:val="18"/>
      </w:rPr>
    </w:pPr>
    <w:r>
      <w:rPr>
        <w:rFonts w:ascii="Goudy Old Style" w:hAnsi="Goudy Old Style"/>
        <w:sz w:val="18"/>
        <w:szCs w:val="18"/>
      </w:rPr>
      <w:t>L</w:t>
    </w:r>
    <w:r w:rsidRPr="00A2056A">
      <w:rPr>
        <w:rFonts w:ascii="Goudy Old Style" w:hAnsi="Goudy Old Style"/>
        <w:sz w:val="18"/>
        <w:szCs w:val="18"/>
      </w:rPr>
      <w:t xml:space="preserve">aura </w:t>
    </w:r>
    <w:proofErr w:type="spellStart"/>
    <w:r w:rsidRPr="00A2056A">
      <w:rPr>
        <w:rFonts w:ascii="Goudy Old Style" w:hAnsi="Goudy Old Style"/>
        <w:sz w:val="18"/>
        <w:szCs w:val="18"/>
      </w:rPr>
      <w:t>Magnani</w:t>
    </w:r>
    <w:proofErr w:type="spellEnd"/>
    <w:r w:rsidRPr="00A2056A">
      <w:rPr>
        <w:rFonts w:ascii="Goudy Old Style" w:hAnsi="Goudy Old Style"/>
        <w:sz w:val="18"/>
        <w:szCs w:val="18"/>
      </w:rPr>
      <w:t xml:space="preserve"> </w:t>
    </w:r>
    <w:r w:rsidRPr="00A2056A">
      <w:rPr>
        <w:rFonts w:ascii="Goudy Old Style" w:hAnsi="Goudy Old Style"/>
        <w:sz w:val="18"/>
        <w:szCs w:val="18"/>
      </w:rPr>
      <w:sym w:font="Wingdings" w:char="F09F"/>
    </w:r>
    <w:r w:rsidRPr="00A2056A">
      <w:rPr>
        <w:rFonts w:ascii="Goudy Old Style" w:hAnsi="Goudy Old Style"/>
        <w:sz w:val="18"/>
        <w:szCs w:val="18"/>
      </w:rPr>
      <w:t xml:space="preserve"> Michael Marcum </w:t>
    </w:r>
    <w:r w:rsidRPr="00A2056A">
      <w:rPr>
        <w:rFonts w:ascii="Goudy Old Style" w:hAnsi="Goudy Old Style"/>
        <w:sz w:val="18"/>
        <w:szCs w:val="18"/>
      </w:rPr>
      <w:sym w:font="Wingdings" w:char="F09F"/>
    </w:r>
    <w:r w:rsidRPr="00A2056A">
      <w:rPr>
        <w:rFonts w:ascii="Goudy Old Style" w:hAnsi="Goudy Old Style"/>
        <w:sz w:val="18"/>
        <w:szCs w:val="18"/>
      </w:rPr>
      <w:t xml:space="preserve"> Ruth Morgan </w:t>
    </w:r>
    <w:r w:rsidRPr="00A2056A">
      <w:rPr>
        <w:rFonts w:ascii="Goudy Old Style" w:hAnsi="Goudy Old Style"/>
        <w:sz w:val="18"/>
        <w:szCs w:val="18"/>
      </w:rPr>
      <w:sym w:font="Wingdings" w:char="F09F"/>
    </w:r>
    <w:r>
      <w:rPr>
        <w:rFonts w:ascii="Goudy Old Style" w:hAnsi="Goudy Old Style"/>
        <w:sz w:val="18"/>
        <w:szCs w:val="18"/>
      </w:rPr>
      <w:t xml:space="preserve"> Seth Morris </w:t>
    </w:r>
    <w:r w:rsidRPr="00A2056A">
      <w:rPr>
        <w:rFonts w:ascii="Goudy Old Style" w:hAnsi="Goudy Old Style"/>
        <w:sz w:val="18"/>
        <w:szCs w:val="18"/>
      </w:rPr>
      <w:sym w:font="Wingdings" w:char="F09F"/>
    </w:r>
    <w:r>
      <w:rPr>
        <w:rFonts w:ascii="Goudy Old Style" w:hAnsi="Goudy Old Style"/>
        <w:sz w:val="18"/>
        <w:szCs w:val="18"/>
      </w:rPr>
      <w:t xml:space="preserve"> </w:t>
    </w:r>
    <w:r w:rsidRPr="000D1414">
      <w:rPr>
        <w:rFonts w:ascii="Goudy Old Style" w:hAnsi="Goudy Old Style"/>
        <w:sz w:val="18"/>
        <w:szCs w:val="18"/>
      </w:rPr>
      <w:t>Vishal Shah</w:t>
    </w:r>
  </w:p>
  <w:p w:rsidR="00903283" w:rsidRPr="000D1414" w:rsidRDefault="00903283" w:rsidP="000D1414">
    <w:pPr>
      <w:pStyle w:val="Footer"/>
      <w:ind w:left="-360"/>
      <w:jc w:val="center"/>
      <w:rPr>
        <w:rFonts w:ascii="Goudy Old Style" w:hAnsi="Goudy Old Style"/>
        <w:sz w:val="18"/>
        <w:szCs w:val="18"/>
      </w:rPr>
    </w:pPr>
  </w:p>
  <w:p w:rsidR="00903283" w:rsidRDefault="00903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83" w:rsidRPr="000D1414" w:rsidRDefault="00903283" w:rsidP="000D1414">
    <w:pPr>
      <w:pStyle w:val="Footer"/>
      <w:ind w:left="-360"/>
      <w:jc w:val="center"/>
      <w:rPr>
        <w:rFonts w:ascii="Goudy Old Style" w:hAnsi="Goudy Old Style"/>
        <w:sz w:val="18"/>
        <w:szCs w:val="18"/>
      </w:rPr>
    </w:pPr>
  </w:p>
  <w:p w:rsidR="00903283" w:rsidRDefault="00903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07" w:rsidRDefault="00384407">
      <w:r>
        <w:separator/>
      </w:r>
    </w:p>
  </w:footnote>
  <w:footnote w:type="continuationSeparator" w:id="0">
    <w:p w:rsidR="00384407" w:rsidRDefault="00384407">
      <w:r>
        <w:continuationSeparator/>
      </w:r>
    </w:p>
  </w:footnote>
  <w:footnote w:id="1">
    <w:p w:rsidR="00903283" w:rsidRPr="008C611B" w:rsidRDefault="00903283" w:rsidP="001C11C0">
      <w:pPr>
        <w:pStyle w:val="BFootnote"/>
        <w:numPr>
          <w:ilvl w:val="0"/>
          <w:numId w:val="0"/>
        </w:numPr>
        <w:tabs>
          <w:tab w:val="clear" w:pos="432"/>
          <w:tab w:val="left" w:pos="450"/>
        </w:tabs>
        <w:ind w:firstLine="720"/>
        <w:jc w:val="both"/>
        <w:rPr>
          <w:sz w:val="26"/>
          <w:szCs w:val="26"/>
          <w:lang w:val="es-MX"/>
        </w:rPr>
      </w:pPr>
      <w:r w:rsidRPr="007A2ACB">
        <w:rPr>
          <w:rStyle w:val="FootnoteReference"/>
          <w:sz w:val="26"/>
          <w:szCs w:val="26"/>
        </w:rPr>
        <w:footnoteRef/>
      </w:r>
      <w:r w:rsidRPr="008C611B">
        <w:rPr>
          <w:sz w:val="26"/>
          <w:szCs w:val="26"/>
          <w:lang w:val="es-MX"/>
        </w:rPr>
        <w:t xml:space="preserve"> </w:t>
      </w:r>
      <w:proofErr w:type="spellStart"/>
      <w:r w:rsidRPr="008C611B">
        <w:rPr>
          <w:i/>
          <w:sz w:val="26"/>
          <w:szCs w:val="26"/>
          <w:lang w:val="es-MX"/>
        </w:rPr>
        <w:t>Schwenk</w:t>
      </w:r>
      <w:proofErr w:type="spellEnd"/>
      <w:r w:rsidRPr="008C611B">
        <w:rPr>
          <w:i/>
          <w:sz w:val="26"/>
          <w:szCs w:val="26"/>
          <w:lang w:val="es-MX"/>
        </w:rPr>
        <w:t xml:space="preserve"> v. Hartford</w:t>
      </w:r>
      <w:r w:rsidRPr="008C611B">
        <w:rPr>
          <w:sz w:val="26"/>
          <w:szCs w:val="26"/>
          <w:lang w:val="es-MX"/>
        </w:rPr>
        <w:t xml:space="preserve">, 204 F.3d 1187, 1197–98 (9° Cir. 2000) (acoso </w:t>
      </w:r>
      <w:proofErr w:type="spellStart"/>
      <w:r w:rsidRPr="008C611B">
        <w:rPr>
          <w:sz w:val="26"/>
          <w:szCs w:val="26"/>
          <w:lang w:val="es-MX"/>
        </w:rPr>
        <w:t>sexual,demandas</w:t>
      </w:r>
      <w:proofErr w:type="spellEnd"/>
      <w:r w:rsidRPr="008C611B">
        <w:rPr>
          <w:sz w:val="26"/>
          <w:szCs w:val="26"/>
          <w:lang w:val="es-MX"/>
        </w:rPr>
        <w:t xml:space="preserve"> por actos sexuales</w:t>
      </w:r>
      <w:r>
        <w:rPr>
          <w:sz w:val="26"/>
          <w:szCs w:val="26"/>
          <w:lang w:val="es-MX"/>
        </w:rPr>
        <w:t xml:space="preserve"> e intentos de sodomía por un o</w:t>
      </w:r>
      <w:r w:rsidRPr="008C611B">
        <w:rPr>
          <w:sz w:val="26"/>
          <w:szCs w:val="26"/>
          <w:lang w:val="es-MX"/>
        </w:rPr>
        <w:t>ficial);</w:t>
      </w:r>
      <w:r w:rsidR="00EE7190">
        <w:rPr>
          <w:sz w:val="26"/>
          <w:szCs w:val="26"/>
          <w:lang w:val="es-MX"/>
        </w:rPr>
        <w:t xml:space="preserve"> </w:t>
      </w:r>
      <w:r w:rsidRPr="008C611B">
        <w:rPr>
          <w:i/>
          <w:sz w:val="26"/>
          <w:szCs w:val="26"/>
          <w:lang w:val="es-MX"/>
        </w:rPr>
        <w:t xml:space="preserve">Wood v. </w:t>
      </w:r>
      <w:proofErr w:type="spellStart"/>
      <w:r w:rsidRPr="008C611B">
        <w:rPr>
          <w:i/>
          <w:sz w:val="26"/>
          <w:szCs w:val="26"/>
          <w:lang w:val="es-MX"/>
        </w:rPr>
        <w:t>Beauclair</w:t>
      </w:r>
      <w:proofErr w:type="spellEnd"/>
      <w:r w:rsidRPr="008C611B">
        <w:rPr>
          <w:sz w:val="26"/>
          <w:szCs w:val="26"/>
          <w:lang w:val="es-MX"/>
        </w:rPr>
        <w:t xml:space="preserve">, 692 F.3d 1041, 1046-51 (9° Cir. 2012) (se </w:t>
      </w:r>
      <w:r>
        <w:rPr>
          <w:sz w:val="26"/>
          <w:szCs w:val="26"/>
          <w:lang w:val="es-MX"/>
        </w:rPr>
        <w:t>sostiene</w:t>
      </w:r>
      <w:r w:rsidRPr="008C611B">
        <w:rPr>
          <w:sz w:val="26"/>
          <w:szCs w:val="26"/>
          <w:lang w:val="es-MX"/>
        </w:rPr>
        <w:t xml:space="preserve"> inconstitucional </w:t>
      </w:r>
      <w:r>
        <w:rPr>
          <w:sz w:val="26"/>
          <w:szCs w:val="26"/>
          <w:lang w:val="es-MX"/>
        </w:rPr>
        <w:t xml:space="preserve">el tocamiento de genitales y se dan </w:t>
      </w:r>
      <w:r w:rsidRPr="008C611B">
        <w:rPr>
          <w:sz w:val="26"/>
          <w:szCs w:val="26"/>
          <w:lang w:val="es-MX"/>
        </w:rPr>
        <w:t xml:space="preserve">ejemplos de acoso </w:t>
      </w:r>
      <w:proofErr w:type="spellStart"/>
      <w:r w:rsidRPr="008C611B">
        <w:rPr>
          <w:sz w:val="26"/>
          <w:szCs w:val="26"/>
          <w:lang w:val="es-MX"/>
        </w:rPr>
        <w:t>incostitucional</w:t>
      </w:r>
      <w:proofErr w:type="spellEnd"/>
      <w:r w:rsidRPr="008C611B">
        <w:rPr>
          <w:sz w:val="26"/>
          <w:szCs w:val="26"/>
          <w:lang w:val="es-MX"/>
        </w:rPr>
        <w:t xml:space="preserve"> de otros casos).</w:t>
      </w:r>
      <w:r w:rsidR="00EE7190">
        <w:rPr>
          <w:sz w:val="26"/>
          <w:szCs w:val="26"/>
          <w:lang w:val="es-MX"/>
        </w:rPr>
        <w:t xml:space="preserve"> </w:t>
      </w:r>
    </w:p>
  </w:footnote>
  <w:footnote w:id="2">
    <w:p w:rsidR="00903283" w:rsidRPr="000F5830"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8C611B">
        <w:rPr>
          <w:sz w:val="26"/>
          <w:szCs w:val="26"/>
          <w:lang w:val="es-MX"/>
        </w:rPr>
        <w:t xml:space="preserve"> </w:t>
      </w:r>
      <w:r w:rsidRPr="008C611B">
        <w:rPr>
          <w:i/>
          <w:sz w:val="26"/>
          <w:szCs w:val="26"/>
          <w:lang w:val="es-MX"/>
        </w:rPr>
        <w:t>Wood,</w:t>
      </w:r>
      <w:r>
        <w:rPr>
          <w:sz w:val="26"/>
          <w:szCs w:val="26"/>
          <w:lang w:val="es-MX"/>
        </w:rPr>
        <w:t xml:space="preserve"> 692 F.3d at 1048-49 sosteniendo que “[l]a dinámica de poder entre</w:t>
      </w:r>
      <w:r w:rsidR="00EE7190">
        <w:rPr>
          <w:sz w:val="26"/>
          <w:szCs w:val="26"/>
          <w:lang w:val="es-MX"/>
        </w:rPr>
        <w:t xml:space="preserve"> </w:t>
      </w:r>
      <w:r w:rsidRPr="008C611B">
        <w:rPr>
          <w:sz w:val="26"/>
          <w:szCs w:val="26"/>
          <w:lang w:val="es-MX"/>
        </w:rPr>
        <w:t>preso</w:t>
      </w:r>
      <w:r>
        <w:rPr>
          <w:sz w:val="26"/>
          <w:szCs w:val="26"/>
          <w:lang w:val="es-MX"/>
        </w:rPr>
        <w:t>s</w:t>
      </w:r>
      <w:r w:rsidRPr="008C611B">
        <w:rPr>
          <w:sz w:val="26"/>
          <w:szCs w:val="26"/>
          <w:lang w:val="es-MX"/>
        </w:rPr>
        <w:t xml:space="preserve"> y</w:t>
      </w:r>
      <w:r w:rsidR="00EE7190">
        <w:rPr>
          <w:sz w:val="26"/>
          <w:szCs w:val="26"/>
          <w:lang w:val="es-MX"/>
        </w:rPr>
        <w:t xml:space="preserve"> </w:t>
      </w:r>
      <w:r>
        <w:rPr>
          <w:sz w:val="26"/>
          <w:szCs w:val="26"/>
          <w:lang w:val="es-MX"/>
        </w:rPr>
        <w:t>guardias hace difícil discerni</w:t>
      </w:r>
      <w:r w:rsidRPr="008C611B">
        <w:rPr>
          <w:sz w:val="26"/>
          <w:szCs w:val="26"/>
          <w:lang w:val="es-MX"/>
        </w:rPr>
        <w:t xml:space="preserve">r </w:t>
      </w:r>
      <w:r>
        <w:rPr>
          <w:sz w:val="26"/>
          <w:szCs w:val="26"/>
          <w:lang w:val="es-MX"/>
        </w:rPr>
        <w:t>entre consentimiento y coerc</w:t>
      </w:r>
      <w:r w:rsidRPr="008C611B">
        <w:rPr>
          <w:sz w:val="26"/>
          <w:szCs w:val="26"/>
          <w:lang w:val="es-MX"/>
        </w:rPr>
        <w:t>i</w:t>
      </w:r>
      <w:r>
        <w:rPr>
          <w:sz w:val="26"/>
          <w:szCs w:val="26"/>
          <w:lang w:val="es-MX"/>
        </w:rPr>
        <w:t xml:space="preserve">ón. </w:t>
      </w:r>
      <w:r w:rsidRPr="00774BEE">
        <w:rPr>
          <w:sz w:val="26"/>
          <w:szCs w:val="26"/>
          <w:lang w:val="es-MX"/>
        </w:rPr>
        <w:t>Incluso</w:t>
      </w:r>
      <w:r w:rsidR="00EE7190">
        <w:rPr>
          <w:sz w:val="26"/>
          <w:szCs w:val="26"/>
          <w:lang w:val="es-MX"/>
        </w:rPr>
        <w:t xml:space="preserve"> </w:t>
      </w:r>
      <w:r>
        <w:rPr>
          <w:sz w:val="26"/>
          <w:szCs w:val="26"/>
          <w:lang w:val="es-MX"/>
        </w:rPr>
        <w:t>si el preso admite</w:t>
      </w:r>
      <w:r w:rsidRPr="00774BEE">
        <w:rPr>
          <w:sz w:val="26"/>
          <w:szCs w:val="26"/>
          <w:lang w:val="es-MX"/>
        </w:rPr>
        <w:t xml:space="preserve"> que la relación sexual es “voluntaria”, porqu</w:t>
      </w:r>
      <w:r>
        <w:rPr>
          <w:sz w:val="26"/>
          <w:szCs w:val="26"/>
          <w:lang w:val="es-MX"/>
        </w:rPr>
        <w:t>e el sexo</w:t>
      </w:r>
      <w:r w:rsidR="00EE7190">
        <w:rPr>
          <w:sz w:val="26"/>
          <w:szCs w:val="26"/>
          <w:lang w:val="es-MX"/>
        </w:rPr>
        <w:t xml:space="preserve"> </w:t>
      </w:r>
      <w:r>
        <w:rPr>
          <w:sz w:val="26"/>
          <w:szCs w:val="26"/>
          <w:lang w:val="es-MX"/>
        </w:rPr>
        <w:t>frecuentemente es intercambiado</w:t>
      </w:r>
      <w:r w:rsidRPr="00774BEE">
        <w:rPr>
          <w:sz w:val="26"/>
          <w:szCs w:val="26"/>
          <w:lang w:val="es-MX"/>
        </w:rPr>
        <w:t xml:space="preserve"> por favores</w:t>
      </w:r>
      <w:r>
        <w:rPr>
          <w:sz w:val="26"/>
          <w:szCs w:val="26"/>
          <w:lang w:val="es-MX"/>
        </w:rPr>
        <w:t xml:space="preserve"> (más privilegios de teléfono o incremento de contacto con los niños) o “lujos” (champú, goma de mascar, cigarros), ciertamente es difícil caracterizar las relaciones sexuales en prisión</w:t>
      </w:r>
      <w:r w:rsidR="00EE7190">
        <w:rPr>
          <w:sz w:val="26"/>
          <w:szCs w:val="26"/>
          <w:lang w:val="es-MX"/>
        </w:rPr>
        <w:t xml:space="preserve"> </w:t>
      </w:r>
      <w:r>
        <w:rPr>
          <w:sz w:val="26"/>
          <w:szCs w:val="26"/>
          <w:lang w:val="es-MX"/>
        </w:rPr>
        <w:t>como producto de libre elección.”)</w:t>
      </w:r>
    </w:p>
  </w:footnote>
  <w:footnote w:id="3">
    <w:p w:rsidR="00903283" w:rsidRPr="009F1594"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9F1594">
        <w:rPr>
          <w:sz w:val="26"/>
          <w:szCs w:val="26"/>
          <w:lang w:val="es-MX"/>
        </w:rPr>
        <w:t xml:space="preserve"> </w:t>
      </w:r>
      <w:r w:rsidRPr="009F1594">
        <w:rPr>
          <w:i/>
          <w:sz w:val="26"/>
          <w:szCs w:val="26"/>
          <w:lang w:val="es-MX"/>
        </w:rPr>
        <w:t>Wood.</w:t>
      </w:r>
      <w:r w:rsidRPr="009F1594">
        <w:rPr>
          <w:sz w:val="26"/>
          <w:szCs w:val="26"/>
          <w:lang w:val="es-MX"/>
        </w:rPr>
        <w:t>, 692 F.3 en 1049-50.</w:t>
      </w:r>
    </w:p>
  </w:footnote>
  <w:footnote w:id="4">
    <w:p w:rsidR="00903283" w:rsidRPr="00FA67D1" w:rsidRDefault="00903283" w:rsidP="001C11C0">
      <w:pPr>
        <w:pStyle w:val="BFootnote"/>
        <w:numPr>
          <w:ilvl w:val="0"/>
          <w:numId w:val="0"/>
        </w:numPr>
        <w:tabs>
          <w:tab w:val="clear" w:pos="432"/>
          <w:tab w:val="left" w:pos="450"/>
        </w:tabs>
        <w:ind w:firstLine="720"/>
        <w:jc w:val="both"/>
        <w:rPr>
          <w:sz w:val="26"/>
          <w:szCs w:val="26"/>
          <w:lang w:val="es-MX"/>
        </w:rPr>
      </w:pPr>
      <w:r w:rsidRPr="007A2ACB">
        <w:rPr>
          <w:rStyle w:val="FootnoteReference"/>
          <w:sz w:val="26"/>
          <w:szCs w:val="26"/>
        </w:rPr>
        <w:footnoteRef/>
      </w:r>
      <w:r w:rsidRPr="00FA67D1">
        <w:rPr>
          <w:sz w:val="26"/>
          <w:szCs w:val="26"/>
          <w:lang w:val="es-MX"/>
        </w:rPr>
        <w:t xml:space="preserve"> </w:t>
      </w:r>
      <w:r w:rsidRPr="00FA67D1">
        <w:rPr>
          <w:i/>
          <w:sz w:val="26"/>
          <w:szCs w:val="26"/>
          <w:lang w:val="es-MX"/>
        </w:rPr>
        <w:t>Ver Wood,</w:t>
      </w:r>
      <w:r w:rsidRPr="00FA67D1">
        <w:rPr>
          <w:sz w:val="26"/>
          <w:szCs w:val="26"/>
          <w:lang w:val="es-MX"/>
        </w:rPr>
        <w:t xml:space="preserve"> 692 F.3d en 1050 (el acoso sexual,</w:t>
      </w:r>
      <w:r w:rsidR="00EE7190">
        <w:rPr>
          <w:sz w:val="26"/>
          <w:szCs w:val="26"/>
          <w:lang w:val="es-MX"/>
        </w:rPr>
        <w:t xml:space="preserve"> </w:t>
      </w:r>
      <w:r w:rsidRPr="00FA67D1">
        <w:rPr>
          <w:sz w:val="26"/>
          <w:szCs w:val="26"/>
          <w:lang w:val="es-MX"/>
        </w:rPr>
        <w:t xml:space="preserve">las </w:t>
      </w:r>
      <w:r>
        <w:rPr>
          <w:sz w:val="26"/>
          <w:szCs w:val="26"/>
          <w:lang w:val="es-MX"/>
        </w:rPr>
        <w:t>demandas por actos sex</w:t>
      </w:r>
      <w:r w:rsidRPr="00FA67D1">
        <w:rPr>
          <w:sz w:val="26"/>
          <w:szCs w:val="26"/>
          <w:lang w:val="es-MX"/>
        </w:rPr>
        <w:t xml:space="preserve">uales, </w:t>
      </w:r>
      <w:r>
        <w:rPr>
          <w:sz w:val="26"/>
          <w:szCs w:val="26"/>
          <w:lang w:val="es-MX"/>
        </w:rPr>
        <w:t>e intentos de sodomía por un o</w:t>
      </w:r>
      <w:r w:rsidRPr="00FA67D1">
        <w:rPr>
          <w:sz w:val="26"/>
          <w:szCs w:val="26"/>
          <w:lang w:val="es-MX"/>
        </w:rPr>
        <w:t xml:space="preserve">ficial fueron suficientemente serios para soportar un reclamo constitucional) (cita </w:t>
      </w:r>
      <w:proofErr w:type="spellStart"/>
      <w:r w:rsidRPr="00FA67D1">
        <w:rPr>
          <w:i/>
          <w:sz w:val="26"/>
          <w:szCs w:val="26"/>
          <w:lang w:val="es-MX"/>
        </w:rPr>
        <w:t>Schwenk</w:t>
      </w:r>
      <w:proofErr w:type="spellEnd"/>
      <w:r w:rsidRPr="00FA67D1">
        <w:rPr>
          <w:sz w:val="26"/>
          <w:szCs w:val="26"/>
          <w:lang w:val="es-MX"/>
        </w:rPr>
        <w:t>, 204 F.3 en 1196);</w:t>
      </w:r>
      <w:r w:rsidR="00EE7190">
        <w:rPr>
          <w:sz w:val="26"/>
          <w:szCs w:val="26"/>
          <w:lang w:val="es-MX"/>
        </w:rPr>
        <w:t xml:space="preserve"> </w:t>
      </w:r>
      <w:r w:rsidRPr="00FA67D1">
        <w:rPr>
          <w:i/>
          <w:sz w:val="26"/>
          <w:szCs w:val="26"/>
          <w:lang w:val="es-MX"/>
        </w:rPr>
        <w:t>pero ver</w:t>
      </w:r>
      <w:r w:rsidR="00EE7190">
        <w:rPr>
          <w:sz w:val="26"/>
          <w:szCs w:val="26"/>
          <w:lang w:val="es-MX"/>
        </w:rPr>
        <w:t xml:space="preserve"> </w:t>
      </w:r>
      <w:proofErr w:type="spellStart"/>
      <w:r w:rsidRPr="00FA67D1">
        <w:rPr>
          <w:i/>
          <w:sz w:val="26"/>
          <w:szCs w:val="26"/>
          <w:lang w:val="es-MX"/>
        </w:rPr>
        <w:t>Watison</w:t>
      </w:r>
      <w:proofErr w:type="spellEnd"/>
      <w:r w:rsidRPr="00FA67D1">
        <w:rPr>
          <w:i/>
          <w:sz w:val="26"/>
          <w:szCs w:val="26"/>
          <w:lang w:val="es-MX"/>
        </w:rPr>
        <w:t xml:space="preserve"> v. Carter</w:t>
      </w:r>
      <w:r w:rsidRPr="00FA67D1">
        <w:rPr>
          <w:sz w:val="26"/>
          <w:szCs w:val="26"/>
          <w:lang w:val="es-MX"/>
        </w:rPr>
        <w:t>, 668 F.3d 1108, 1114 (9° Cir. 2012) (no</w:t>
      </w:r>
      <w:r>
        <w:rPr>
          <w:sz w:val="26"/>
          <w:szCs w:val="26"/>
          <w:lang w:val="es-MX"/>
        </w:rPr>
        <w:t xml:space="preserve"> hay</w:t>
      </w:r>
      <w:r w:rsidRPr="00FA67D1">
        <w:rPr>
          <w:sz w:val="26"/>
          <w:szCs w:val="26"/>
          <w:lang w:val="es-MX"/>
        </w:rPr>
        <w:t xml:space="preserve"> violación a la Octava Enmienda cuando un oficial entró a la celda de un preso</w:t>
      </w:r>
      <w:r>
        <w:rPr>
          <w:sz w:val="26"/>
          <w:szCs w:val="26"/>
          <w:lang w:val="es-MX"/>
        </w:rPr>
        <w:t xml:space="preserve"> varón</w:t>
      </w:r>
      <w:r w:rsidR="00EE7190">
        <w:rPr>
          <w:sz w:val="26"/>
          <w:szCs w:val="26"/>
          <w:lang w:val="es-MX"/>
        </w:rPr>
        <w:t xml:space="preserve"> </w:t>
      </w:r>
      <w:r>
        <w:rPr>
          <w:sz w:val="26"/>
          <w:szCs w:val="26"/>
          <w:lang w:val="es-MX"/>
        </w:rPr>
        <w:t>mientras</w:t>
      </w:r>
      <w:r w:rsidR="00EE7190">
        <w:rPr>
          <w:sz w:val="26"/>
          <w:szCs w:val="26"/>
          <w:lang w:val="es-MX"/>
        </w:rPr>
        <w:t xml:space="preserve"> </w:t>
      </w:r>
      <w:r>
        <w:rPr>
          <w:sz w:val="26"/>
          <w:szCs w:val="26"/>
          <w:lang w:val="es-MX"/>
        </w:rPr>
        <w:t>se encontraba</w:t>
      </w:r>
      <w:r w:rsidRPr="00FA67D1">
        <w:rPr>
          <w:sz w:val="26"/>
          <w:szCs w:val="26"/>
          <w:lang w:val="es-MX"/>
        </w:rPr>
        <w:t xml:space="preserve"> en el inodoro y </w:t>
      </w:r>
      <w:proofErr w:type="spellStart"/>
      <w:r>
        <w:rPr>
          <w:sz w:val="26"/>
          <w:szCs w:val="26"/>
          <w:lang w:val="es-MX"/>
        </w:rPr>
        <w:t>el</w:t>
      </w:r>
      <w:proofErr w:type="spellEnd"/>
      <w:r>
        <w:rPr>
          <w:sz w:val="26"/>
          <w:szCs w:val="26"/>
          <w:lang w:val="es-MX"/>
        </w:rPr>
        <w:t xml:space="preserve"> </w:t>
      </w:r>
      <w:r w:rsidRPr="00FA67D1">
        <w:rPr>
          <w:sz w:val="26"/>
          <w:szCs w:val="26"/>
          <w:lang w:val="es-MX"/>
        </w:rPr>
        <w:t xml:space="preserve">se rozó </w:t>
      </w:r>
      <w:proofErr w:type="spellStart"/>
      <w:r w:rsidRPr="00FA67D1">
        <w:rPr>
          <w:sz w:val="26"/>
          <w:szCs w:val="26"/>
          <w:lang w:val="es-MX"/>
        </w:rPr>
        <w:t>ligerante</w:t>
      </w:r>
      <w:proofErr w:type="spellEnd"/>
      <w:r w:rsidRPr="00FA67D1">
        <w:rPr>
          <w:sz w:val="26"/>
          <w:szCs w:val="26"/>
          <w:lang w:val="es-MX"/>
        </w:rPr>
        <w:t xml:space="preserve"> contra el muslo del prisionero); </w:t>
      </w:r>
      <w:r w:rsidRPr="00FA67D1">
        <w:rPr>
          <w:i/>
          <w:sz w:val="26"/>
          <w:szCs w:val="26"/>
          <w:lang w:val="es-MX"/>
        </w:rPr>
        <w:t xml:space="preserve">Austin v. </w:t>
      </w:r>
      <w:proofErr w:type="spellStart"/>
      <w:r w:rsidRPr="00FA67D1">
        <w:rPr>
          <w:i/>
          <w:sz w:val="26"/>
          <w:szCs w:val="26"/>
          <w:lang w:val="es-MX"/>
        </w:rPr>
        <w:t>Terhune</w:t>
      </w:r>
      <w:proofErr w:type="spellEnd"/>
      <w:r w:rsidRPr="00FA67D1">
        <w:rPr>
          <w:i/>
          <w:sz w:val="26"/>
          <w:szCs w:val="26"/>
          <w:lang w:val="es-MX"/>
        </w:rPr>
        <w:t xml:space="preserve">, </w:t>
      </w:r>
      <w:r w:rsidRPr="00FA67D1">
        <w:rPr>
          <w:sz w:val="26"/>
          <w:szCs w:val="26"/>
          <w:lang w:val="es-MX"/>
        </w:rPr>
        <w:t>367 F.3d 1167, 1172 (9</w:t>
      </w:r>
      <w:r>
        <w:rPr>
          <w:sz w:val="26"/>
          <w:szCs w:val="26"/>
          <w:lang w:val="es-MX"/>
        </w:rPr>
        <w:t>°</w:t>
      </w:r>
      <w:r w:rsidRPr="00FA67D1">
        <w:rPr>
          <w:sz w:val="26"/>
          <w:szCs w:val="26"/>
          <w:lang w:val="es-MX"/>
        </w:rPr>
        <w:t xml:space="preserve"> Cir. 2004) (</w:t>
      </w:r>
      <w:r>
        <w:rPr>
          <w:sz w:val="26"/>
          <w:szCs w:val="26"/>
          <w:lang w:val="es-MX"/>
        </w:rPr>
        <w:t>no hay violación a la Octava Enmienda cuando un oficial en la cabina de control le mostró los genitales a un preso varón y le hizo un comentario sexual)</w:t>
      </w:r>
      <w:r w:rsidRPr="00FA67D1">
        <w:rPr>
          <w:sz w:val="26"/>
          <w:szCs w:val="26"/>
          <w:lang w:val="es-MX"/>
        </w:rPr>
        <w:t>.</w:t>
      </w:r>
    </w:p>
  </w:footnote>
  <w:footnote w:id="5">
    <w:p w:rsidR="00903283" w:rsidRPr="002651E2" w:rsidRDefault="00903283" w:rsidP="001C11C0">
      <w:pPr>
        <w:pStyle w:val="BFootnote"/>
        <w:numPr>
          <w:ilvl w:val="0"/>
          <w:numId w:val="0"/>
        </w:numPr>
        <w:tabs>
          <w:tab w:val="clear" w:pos="432"/>
          <w:tab w:val="left" w:pos="450"/>
        </w:tabs>
        <w:ind w:firstLine="720"/>
        <w:jc w:val="both"/>
        <w:rPr>
          <w:sz w:val="26"/>
          <w:szCs w:val="26"/>
          <w:lang w:val="es-MX"/>
        </w:rPr>
      </w:pPr>
      <w:r w:rsidRPr="007A2ACB">
        <w:rPr>
          <w:rStyle w:val="FootnoteReference"/>
          <w:sz w:val="26"/>
          <w:szCs w:val="26"/>
        </w:rPr>
        <w:footnoteRef/>
      </w:r>
      <w:r w:rsidRPr="002651E2">
        <w:rPr>
          <w:sz w:val="26"/>
          <w:szCs w:val="26"/>
          <w:lang w:val="es-MX"/>
        </w:rPr>
        <w:t xml:space="preserve"> </w:t>
      </w:r>
      <w:proofErr w:type="spellStart"/>
      <w:r w:rsidRPr="002651E2">
        <w:rPr>
          <w:i/>
          <w:sz w:val="26"/>
          <w:szCs w:val="26"/>
          <w:lang w:val="es-MX"/>
        </w:rPr>
        <w:t>Farmer</w:t>
      </w:r>
      <w:proofErr w:type="spellEnd"/>
      <w:r w:rsidRPr="002651E2">
        <w:rPr>
          <w:i/>
          <w:sz w:val="26"/>
          <w:szCs w:val="26"/>
          <w:lang w:val="es-MX"/>
        </w:rPr>
        <w:t xml:space="preserve"> v. </w:t>
      </w:r>
      <w:proofErr w:type="spellStart"/>
      <w:r w:rsidRPr="002651E2">
        <w:rPr>
          <w:i/>
          <w:sz w:val="26"/>
          <w:szCs w:val="26"/>
          <w:lang w:val="es-MX"/>
        </w:rPr>
        <w:t>Brennan</w:t>
      </w:r>
      <w:proofErr w:type="spellEnd"/>
      <w:r w:rsidRPr="002651E2">
        <w:rPr>
          <w:i/>
          <w:sz w:val="26"/>
          <w:szCs w:val="26"/>
          <w:lang w:val="es-MX"/>
        </w:rPr>
        <w:t>,</w:t>
      </w:r>
      <w:r w:rsidRPr="002651E2">
        <w:rPr>
          <w:sz w:val="26"/>
          <w:szCs w:val="26"/>
          <w:lang w:val="es-MX"/>
        </w:rPr>
        <w:t xml:space="preserve"> 511 </w:t>
      </w:r>
      <w:proofErr w:type="spellStart"/>
      <w:r w:rsidRPr="002651E2">
        <w:rPr>
          <w:sz w:val="26"/>
          <w:szCs w:val="26"/>
          <w:lang w:val="es-MX"/>
        </w:rPr>
        <w:t>U.S</w:t>
      </w:r>
      <w:proofErr w:type="spellEnd"/>
      <w:r w:rsidRPr="002651E2">
        <w:rPr>
          <w:sz w:val="26"/>
          <w:szCs w:val="26"/>
          <w:lang w:val="es-MX"/>
        </w:rPr>
        <w:t xml:space="preserve">. 825, 828 (1994); </w:t>
      </w:r>
      <w:proofErr w:type="spellStart"/>
      <w:r w:rsidRPr="002651E2">
        <w:rPr>
          <w:i/>
          <w:sz w:val="26"/>
          <w:szCs w:val="26"/>
          <w:lang w:val="es-MX"/>
        </w:rPr>
        <w:t>Berg</w:t>
      </w:r>
      <w:proofErr w:type="spellEnd"/>
      <w:r w:rsidRPr="002651E2">
        <w:rPr>
          <w:i/>
          <w:sz w:val="26"/>
          <w:szCs w:val="26"/>
          <w:lang w:val="es-MX"/>
        </w:rPr>
        <w:t xml:space="preserve"> v. </w:t>
      </w:r>
      <w:proofErr w:type="spellStart"/>
      <w:r w:rsidRPr="002651E2">
        <w:rPr>
          <w:i/>
          <w:sz w:val="26"/>
          <w:szCs w:val="26"/>
          <w:lang w:val="es-MX"/>
        </w:rPr>
        <w:t>Kincheloe</w:t>
      </w:r>
      <w:proofErr w:type="spellEnd"/>
      <w:r w:rsidRPr="002651E2">
        <w:rPr>
          <w:sz w:val="26"/>
          <w:szCs w:val="26"/>
          <w:lang w:val="es-MX"/>
        </w:rPr>
        <w:t>, 794 F.2d 457, 459 (9° Cir. 1986);</w:t>
      </w:r>
      <w:r w:rsidR="00EE7190">
        <w:rPr>
          <w:sz w:val="26"/>
          <w:szCs w:val="26"/>
          <w:lang w:val="es-MX"/>
        </w:rPr>
        <w:t xml:space="preserve"> </w:t>
      </w:r>
      <w:r w:rsidRPr="002651E2">
        <w:rPr>
          <w:i/>
          <w:sz w:val="26"/>
          <w:szCs w:val="26"/>
          <w:lang w:val="es-MX"/>
        </w:rPr>
        <w:t>ver también</w:t>
      </w:r>
      <w:r w:rsidR="00EE7190">
        <w:rPr>
          <w:sz w:val="26"/>
          <w:szCs w:val="26"/>
          <w:lang w:val="es-MX"/>
        </w:rPr>
        <w:t xml:space="preserve"> </w:t>
      </w:r>
      <w:proofErr w:type="spellStart"/>
      <w:r w:rsidRPr="002651E2">
        <w:rPr>
          <w:i/>
          <w:sz w:val="26"/>
          <w:szCs w:val="26"/>
          <w:lang w:val="es-MX"/>
        </w:rPr>
        <w:t>Davidson</w:t>
      </w:r>
      <w:proofErr w:type="spellEnd"/>
      <w:r w:rsidRPr="002651E2">
        <w:rPr>
          <w:i/>
          <w:sz w:val="26"/>
          <w:szCs w:val="26"/>
          <w:lang w:val="es-MX"/>
        </w:rPr>
        <w:t xml:space="preserve"> v. </w:t>
      </w:r>
      <w:proofErr w:type="spellStart"/>
      <w:r w:rsidRPr="002651E2">
        <w:rPr>
          <w:i/>
          <w:sz w:val="26"/>
          <w:szCs w:val="26"/>
          <w:lang w:val="es-MX"/>
        </w:rPr>
        <w:t>Cannon</w:t>
      </w:r>
      <w:proofErr w:type="spellEnd"/>
      <w:r w:rsidRPr="002651E2">
        <w:rPr>
          <w:sz w:val="26"/>
          <w:szCs w:val="26"/>
          <w:lang w:val="es-MX"/>
        </w:rPr>
        <w:t xml:space="preserve">, 474 </w:t>
      </w:r>
      <w:proofErr w:type="spellStart"/>
      <w:r w:rsidRPr="002651E2">
        <w:rPr>
          <w:sz w:val="26"/>
          <w:szCs w:val="26"/>
          <w:lang w:val="es-MX"/>
        </w:rPr>
        <w:t>U.S</w:t>
      </w:r>
      <w:proofErr w:type="spellEnd"/>
      <w:r w:rsidRPr="002651E2">
        <w:rPr>
          <w:sz w:val="26"/>
          <w:szCs w:val="26"/>
          <w:lang w:val="es-MX"/>
        </w:rPr>
        <w:t>. 344, 347-48 (1986) (No se violó la Octava enmienda por negligencia</w:t>
      </w:r>
      <w:r w:rsidR="00EE7190">
        <w:rPr>
          <w:sz w:val="26"/>
          <w:szCs w:val="26"/>
          <w:lang w:val="es-MX"/>
        </w:rPr>
        <w:t xml:space="preserve"> </w:t>
      </w:r>
      <w:r w:rsidRPr="002651E2">
        <w:rPr>
          <w:sz w:val="26"/>
          <w:szCs w:val="26"/>
          <w:lang w:val="es-MX"/>
        </w:rPr>
        <w:t>en faltar a la protecci</w:t>
      </w:r>
      <w:r>
        <w:rPr>
          <w:sz w:val="26"/>
          <w:szCs w:val="26"/>
          <w:lang w:val="es-MX"/>
        </w:rPr>
        <w:t>ón de un preso de una agresión</w:t>
      </w:r>
      <w:r w:rsidRPr="002651E2">
        <w:rPr>
          <w:sz w:val="26"/>
          <w:szCs w:val="26"/>
          <w:lang w:val="es-MX"/>
        </w:rPr>
        <w:t>).</w:t>
      </w:r>
    </w:p>
  </w:footnote>
  <w:footnote w:id="6">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proofErr w:type="spellStart"/>
      <w:r w:rsidRPr="007A2ACB">
        <w:rPr>
          <w:i/>
          <w:sz w:val="26"/>
          <w:szCs w:val="26"/>
        </w:rPr>
        <w:t>Helling</w:t>
      </w:r>
      <w:proofErr w:type="spellEnd"/>
      <w:r w:rsidRPr="007A2ACB">
        <w:rPr>
          <w:i/>
          <w:sz w:val="26"/>
          <w:szCs w:val="26"/>
        </w:rPr>
        <w:t xml:space="preserve"> v. McKinney</w:t>
      </w:r>
      <w:r w:rsidRPr="007A2ACB">
        <w:rPr>
          <w:sz w:val="26"/>
          <w:szCs w:val="26"/>
        </w:rPr>
        <w:t>, 509 U.S. 25, 33</w:t>
      </w:r>
      <w:r>
        <w:rPr>
          <w:sz w:val="26"/>
          <w:szCs w:val="26"/>
        </w:rPr>
        <w:t>-</w:t>
      </w:r>
      <w:r w:rsidRPr="007A2ACB">
        <w:rPr>
          <w:sz w:val="26"/>
          <w:szCs w:val="26"/>
        </w:rPr>
        <w:t>34 (1993).</w:t>
      </w:r>
    </w:p>
  </w:footnote>
  <w:footnote w:id="7">
    <w:p w:rsidR="00903283" w:rsidRPr="002651E2" w:rsidRDefault="00903283" w:rsidP="001C11C0">
      <w:pPr>
        <w:pStyle w:val="BFootnote"/>
        <w:numPr>
          <w:ilvl w:val="0"/>
          <w:numId w:val="0"/>
        </w:numPr>
        <w:tabs>
          <w:tab w:val="clear" w:pos="432"/>
          <w:tab w:val="left" w:pos="450"/>
        </w:tabs>
        <w:ind w:firstLine="720"/>
        <w:jc w:val="both"/>
        <w:rPr>
          <w:sz w:val="26"/>
          <w:szCs w:val="26"/>
          <w:lang w:val="es-MX"/>
        </w:rPr>
      </w:pPr>
      <w:r w:rsidRPr="007A2ACB">
        <w:rPr>
          <w:rStyle w:val="FootnoteReference"/>
          <w:sz w:val="26"/>
          <w:szCs w:val="26"/>
        </w:rPr>
        <w:footnoteRef/>
      </w:r>
      <w:r w:rsidRPr="002651E2">
        <w:rPr>
          <w:sz w:val="26"/>
          <w:szCs w:val="26"/>
          <w:lang w:val="es-MX"/>
        </w:rPr>
        <w:t xml:space="preserve"> </w:t>
      </w:r>
      <w:proofErr w:type="spellStart"/>
      <w:r w:rsidRPr="002651E2">
        <w:rPr>
          <w:i/>
          <w:sz w:val="26"/>
          <w:szCs w:val="26"/>
          <w:lang w:val="es-MX"/>
        </w:rPr>
        <w:t>Jordan</w:t>
      </w:r>
      <w:proofErr w:type="spellEnd"/>
      <w:r w:rsidRPr="002651E2">
        <w:rPr>
          <w:i/>
          <w:sz w:val="26"/>
          <w:szCs w:val="26"/>
          <w:lang w:val="es-MX"/>
        </w:rPr>
        <w:t xml:space="preserve"> v. Gardner</w:t>
      </w:r>
      <w:r w:rsidRPr="002651E2">
        <w:rPr>
          <w:sz w:val="26"/>
          <w:szCs w:val="26"/>
          <w:lang w:val="es-MX"/>
        </w:rPr>
        <w:t xml:space="preserve"> , 986 F.2d 1521, 1523, 1530 (9° Cir. 1993).</w:t>
      </w:r>
    </w:p>
  </w:footnote>
  <w:footnote w:id="8">
    <w:p w:rsidR="00903283" w:rsidRPr="007A2ACB" w:rsidRDefault="00903283" w:rsidP="001C11C0">
      <w:pPr>
        <w:pStyle w:val="BFootnote"/>
        <w:numPr>
          <w:ilvl w:val="0"/>
          <w:numId w:val="0"/>
        </w:numPr>
        <w:tabs>
          <w:tab w:val="clear" w:pos="432"/>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proofErr w:type="spellStart"/>
      <w:r w:rsidRPr="007A2ACB">
        <w:rPr>
          <w:i/>
          <w:sz w:val="26"/>
          <w:szCs w:val="26"/>
        </w:rPr>
        <w:t>Grummett</w:t>
      </w:r>
      <w:proofErr w:type="spellEnd"/>
      <w:r w:rsidRPr="007A2ACB">
        <w:rPr>
          <w:i/>
          <w:sz w:val="26"/>
          <w:szCs w:val="26"/>
        </w:rPr>
        <w:t xml:space="preserve"> v. </w:t>
      </w:r>
      <w:proofErr w:type="spellStart"/>
      <w:r w:rsidRPr="007A2ACB">
        <w:rPr>
          <w:i/>
          <w:sz w:val="26"/>
          <w:szCs w:val="26"/>
        </w:rPr>
        <w:t>Rushen</w:t>
      </w:r>
      <w:proofErr w:type="spellEnd"/>
      <w:r w:rsidRPr="007A2ACB">
        <w:rPr>
          <w:i/>
          <w:sz w:val="26"/>
          <w:szCs w:val="26"/>
        </w:rPr>
        <w:t>,</w:t>
      </w:r>
      <w:r w:rsidRPr="007A2ACB">
        <w:rPr>
          <w:sz w:val="26"/>
          <w:szCs w:val="26"/>
        </w:rPr>
        <w:t xml:space="preserve"> 779 F.2d 491, 492</w:t>
      </w:r>
      <w:r>
        <w:rPr>
          <w:sz w:val="26"/>
          <w:szCs w:val="26"/>
        </w:rPr>
        <w:t>-95 (9°</w:t>
      </w:r>
      <w:r w:rsidRPr="007A2ACB">
        <w:rPr>
          <w:sz w:val="26"/>
          <w:szCs w:val="26"/>
        </w:rPr>
        <w:t xml:space="preserve"> Cir. 1985); </w:t>
      </w:r>
      <w:r w:rsidRPr="007A2ACB">
        <w:rPr>
          <w:i/>
          <w:sz w:val="26"/>
          <w:szCs w:val="26"/>
        </w:rPr>
        <w:t>Somers v. Thurman</w:t>
      </w:r>
      <w:r>
        <w:rPr>
          <w:sz w:val="26"/>
          <w:szCs w:val="26"/>
        </w:rPr>
        <w:t>, 109 F.3d 614, 624 (9°</w:t>
      </w:r>
      <w:r w:rsidRPr="007A2ACB">
        <w:rPr>
          <w:sz w:val="26"/>
          <w:szCs w:val="26"/>
        </w:rPr>
        <w:t xml:space="preserve"> Cir. 1997).</w:t>
      </w:r>
    </w:p>
  </w:footnote>
  <w:footnote w:id="9">
    <w:p w:rsidR="00903283" w:rsidRPr="00FD125D"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FD125D">
        <w:rPr>
          <w:sz w:val="26"/>
          <w:szCs w:val="26"/>
          <w:lang w:val="es-MX"/>
        </w:rPr>
        <w:t xml:space="preserve"> </w:t>
      </w:r>
      <w:r w:rsidRPr="008E5C39">
        <w:rPr>
          <w:rFonts w:asciiTheme="minorHAnsi" w:eastAsiaTheme="minorEastAsia" w:hAnsiTheme="minorHAnsi" w:cstheme="minorBidi"/>
          <w:bCs/>
          <w:sz w:val="26"/>
          <w:szCs w:val="26"/>
          <w:lang w:val="es-MX"/>
        </w:rPr>
        <w:t>Le</w:t>
      </w:r>
      <w:r>
        <w:rPr>
          <w:rFonts w:asciiTheme="minorHAnsi" w:eastAsiaTheme="minorEastAsia" w:hAnsiTheme="minorHAnsi" w:cstheme="minorBidi"/>
          <w:bCs/>
          <w:sz w:val="26"/>
          <w:szCs w:val="26"/>
          <w:lang w:val="es-MX"/>
        </w:rPr>
        <w:t>y de Eliminación de Violaciones Penitenciarias (PREA</w:t>
      </w:r>
      <w:r w:rsidRPr="00FD125D">
        <w:rPr>
          <w:sz w:val="26"/>
          <w:szCs w:val="26"/>
          <w:lang w:val="es-MX"/>
        </w:rPr>
        <w:t>)</w:t>
      </w:r>
      <w:r>
        <w:rPr>
          <w:sz w:val="26"/>
          <w:szCs w:val="26"/>
          <w:lang w:val="es-MX"/>
        </w:rPr>
        <w:t xml:space="preserve"> del 2003</w:t>
      </w:r>
      <w:r w:rsidRPr="00FD125D">
        <w:rPr>
          <w:sz w:val="26"/>
          <w:szCs w:val="26"/>
          <w:lang w:val="es-MX"/>
        </w:rPr>
        <w:t xml:space="preserve">, 34 U.S.C § 30301, </w:t>
      </w:r>
      <w:r w:rsidRPr="00FD125D">
        <w:rPr>
          <w:i/>
          <w:sz w:val="26"/>
          <w:szCs w:val="26"/>
          <w:lang w:val="es-MX"/>
        </w:rPr>
        <w:t xml:space="preserve">et </w:t>
      </w:r>
      <w:proofErr w:type="spellStart"/>
      <w:r w:rsidRPr="00FD125D">
        <w:rPr>
          <w:i/>
          <w:sz w:val="26"/>
          <w:szCs w:val="26"/>
          <w:lang w:val="es-MX"/>
        </w:rPr>
        <w:t>seq</w:t>
      </w:r>
      <w:proofErr w:type="spellEnd"/>
      <w:r w:rsidRPr="00FD125D">
        <w:rPr>
          <w:sz w:val="26"/>
          <w:szCs w:val="26"/>
          <w:lang w:val="es-MX"/>
        </w:rPr>
        <w:t>.</w:t>
      </w:r>
    </w:p>
  </w:footnote>
  <w:footnote w:id="10">
    <w:p w:rsidR="00903283" w:rsidRPr="009F1594"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FD125D">
        <w:rPr>
          <w:sz w:val="26"/>
          <w:szCs w:val="26"/>
          <w:lang w:val="es-MX"/>
        </w:rPr>
        <w:t xml:space="preserve"> </w:t>
      </w:r>
      <w:r w:rsidRPr="00FD125D">
        <w:rPr>
          <w:i/>
          <w:sz w:val="26"/>
          <w:szCs w:val="26"/>
          <w:lang w:val="es-MX"/>
        </w:rPr>
        <w:t>Ver</w:t>
      </w:r>
      <w:r w:rsidR="00EE7190">
        <w:rPr>
          <w:sz w:val="26"/>
          <w:szCs w:val="26"/>
          <w:lang w:val="es-MX"/>
        </w:rPr>
        <w:t xml:space="preserve"> </w:t>
      </w:r>
      <w:r w:rsidRPr="00FD125D">
        <w:rPr>
          <w:i/>
          <w:sz w:val="26"/>
          <w:szCs w:val="26"/>
          <w:lang w:val="es-MX"/>
        </w:rPr>
        <w:t>Departamento de Justicia de los E.U.A. Regulaciones Nacionales para Prevenir , Detectar y Responder a Violaciones Penitenciarias</w:t>
      </w:r>
      <w:r w:rsidRPr="00FD125D">
        <w:rPr>
          <w:sz w:val="26"/>
          <w:szCs w:val="26"/>
          <w:lang w:val="es-MX"/>
        </w:rPr>
        <w:t xml:space="preserve"> , 28 </w:t>
      </w:r>
      <w:proofErr w:type="spellStart"/>
      <w:r w:rsidRPr="00FD125D">
        <w:rPr>
          <w:sz w:val="26"/>
          <w:szCs w:val="26"/>
          <w:lang w:val="es-MX"/>
        </w:rPr>
        <w:t>CFR</w:t>
      </w:r>
      <w:proofErr w:type="spellEnd"/>
      <w:r w:rsidRPr="00FD125D">
        <w:rPr>
          <w:sz w:val="26"/>
          <w:szCs w:val="26"/>
          <w:lang w:val="es-MX"/>
        </w:rPr>
        <w:t xml:space="preserve"> 115.5, </w:t>
      </w:r>
      <w:r w:rsidRPr="00FD125D">
        <w:rPr>
          <w:i/>
          <w:sz w:val="26"/>
          <w:szCs w:val="26"/>
          <w:lang w:val="es-MX"/>
        </w:rPr>
        <w:t xml:space="preserve">et </w:t>
      </w:r>
      <w:proofErr w:type="spellStart"/>
      <w:r w:rsidRPr="00FD125D">
        <w:rPr>
          <w:i/>
          <w:sz w:val="26"/>
          <w:szCs w:val="26"/>
          <w:lang w:val="es-MX"/>
        </w:rPr>
        <w:t>seq</w:t>
      </w:r>
      <w:proofErr w:type="spellEnd"/>
      <w:r w:rsidRPr="00FD125D">
        <w:rPr>
          <w:sz w:val="26"/>
          <w:szCs w:val="26"/>
          <w:lang w:val="es-MX"/>
        </w:rPr>
        <w:t xml:space="preserve">. </w:t>
      </w:r>
      <w:r w:rsidRPr="009F1594">
        <w:rPr>
          <w:sz w:val="26"/>
          <w:szCs w:val="26"/>
          <w:lang w:val="es-MX"/>
        </w:rPr>
        <w:t xml:space="preserve">(Jun. 20, 2012), </w:t>
      </w:r>
      <w:hyperlink r:id="rId1" w:history="1">
        <w:r w:rsidRPr="009F1594">
          <w:rPr>
            <w:rStyle w:val="Hyperlink"/>
            <w:sz w:val="26"/>
            <w:szCs w:val="26"/>
            <w:lang w:val="es-MX"/>
          </w:rPr>
          <w:t>www.federalregister.gov/a/2012-12427</w:t>
        </w:r>
      </w:hyperlink>
      <w:r w:rsidRPr="009F1594">
        <w:rPr>
          <w:sz w:val="26"/>
          <w:szCs w:val="26"/>
          <w:lang w:val="es-MX"/>
        </w:rPr>
        <w:t>.</w:t>
      </w:r>
    </w:p>
  </w:footnote>
  <w:footnote w:id="11">
    <w:p w:rsidR="00903283" w:rsidRPr="003017F5" w:rsidRDefault="00903283" w:rsidP="001C11C0">
      <w:pPr>
        <w:pStyle w:val="Default"/>
        <w:tabs>
          <w:tab w:val="left" w:pos="450"/>
        </w:tabs>
        <w:ind w:firstLine="720"/>
        <w:jc w:val="both"/>
        <w:rPr>
          <w:rFonts w:ascii="Times New Roman" w:eastAsia="Times New Roman" w:hAnsi="Times New Roman" w:cs="Times New Roman"/>
          <w:sz w:val="26"/>
          <w:szCs w:val="26"/>
          <w:lang w:val="es-MX"/>
        </w:rPr>
      </w:pPr>
      <w:r w:rsidRPr="007A2ACB">
        <w:rPr>
          <w:rStyle w:val="FootnoteReference"/>
          <w:rFonts w:ascii="Times New Roman" w:hAnsi="Times New Roman" w:cs="Times New Roman"/>
          <w:sz w:val="26"/>
          <w:szCs w:val="26"/>
        </w:rPr>
        <w:footnoteRef/>
      </w:r>
      <w:r w:rsidRPr="003017F5">
        <w:rPr>
          <w:rFonts w:ascii="Times New Roman" w:hAnsi="Times New Roman" w:cs="Times New Roman"/>
          <w:sz w:val="26"/>
          <w:szCs w:val="26"/>
          <w:lang w:val="es-MX"/>
        </w:rPr>
        <w:t xml:space="preserve"> </w:t>
      </w:r>
      <w:r w:rsidRPr="003017F5">
        <w:rPr>
          <w:rFonts w:ascii="Times New Roman" w:hAnsi="Times New Roman" w:cs="Times New Roman"/>
          <w:i/>
          <w:sz w:val="26"/>
          <w:szCs w:val="26"/>
          <w:lang w:val="es-MX"/>
        </w:rPr>
        <w:t>Ver</w:t>
      </w:r>
      <w:r w:rsidRPr="003017F5">
        <w:rPr>
          <w:rFonts w:ascii="Times New Roman" w:hAnsi="Times New Roman" w:cs="Times New Roman"/>
          <w:sz w:val="26"/>
          <w:szCs w:val="26"/>
          <w:lang w:val="es-MX"/>
        </w:rPr>
        <w:t xml:space="preserve"> 34 U.S.C § 30305; </w:t>
      </w:r>
      <w:r w:rsidRPr="003017F5">
        <w:rPr>
          <w:rFonts w:ascii="Times New Roman" w:hAnsi="Times New Roman" w:cs="Times New Roman"/>
          <w:i/>
          <w:sz w:val="26"/>
          <w:szCs w:val="26"/>
          <w:lang w:val="es-MX"/>
        </w:rPr>
        <w:t>Ver también</w:t>
      </w:r>
      <w:r w:rsidR="00EE7190">
        <w:rPr>
          <w:rFonts w:ascii="Times New Roman" w:hAnsi="Times New Roman" w:cs="Times New Roman"/>
          <w:i/>
          <w:sz w:val="26"/>
          <w:szCs w:val="26"/>
          <w:lang w:val="es-MX"/>
        </w:rPr>
        <w:t xml:space="preserve"> </w:t>
      </w:r>
      <w:r w:rsidRPr="003017F5">
        <w:rPr>
          <w:rFonts w:ascii="Times New Roman" w:hAnsi="Times New Roman" w:cs="Times New Roman"/>
          <w:i/>
          <w:sz w:val="26"/>
          <w:szCs w:val="26"/>
          <w:lang w:val="es-MX"/>
        </w:rPr>
        <w:t>PREA Centro de Información, Preguntas Frecuentes en relación a la Ley de Eliminación de Violaciones</w:t>
      </w:r>
      <w:r>
        <w:rPr>
          <w:rFonts w:ascii="Times New Roman" w:hAnsi="Times New Roman" w:cs="Times New Roman"/>
          <w:i/>
          <w:sz w:val="26"/>
          <w:szCs w:val="26"/>
          <w:lang w:val="es-MX"/>
        </w:rPr>
        <w:t xml:space="preserve"> Penitenciarias (PREA) Requerim</w:t>
      </w:r>
      <w:r w:rsidRPr="003017F5">
        <w:rPr>
          <w:rFonts w:ascii="Times New Roman" w:hAnsi="Times New Roman" w:cs="Times New Roman"/>
          <w:i/>
          <w:sz w:val="26"/>
          <w:szCs w:val="26"/>
          <w:lang w:val="es-MX"/>
        </w:rPr>
        <w:t>i</w:t>
      </w:r>
      <w:r>
        <w:rPr>
          <w:rFonts w:ascii="Times New Roman" w:hAnsi="Times New Roman" w:cs="Times New Roman"/>
          <w:i/>
          <w:sz w:val="26"/>
          <w:szCs w:val="26"/>
          <w:lang w:val="es-MX"/>
        </w:rPr>
        <w:t>e</w:t>
      </w:r>
      <w:r w:rsidRPr="003017F5">
        <w:rPr>
          <w:rFonts w:ascii="Times New Roman" w:hAnsi="Times New Roman" w:cs="Times New Roman"/>
          <w:i/>
          <w:sz w:val="26"/>
          <w:szCs w:val="26"/>
          <w:lang w:val="es-MX"/>
        </w:rPr>
        <w:t>nto de Certificación y Reducción del 5 Por ciento</w:t>
      </w:r>
      <w:r w:rsidRPr="003017F5">
        <w:rPr>
          <w:rFonts w:ascii="Times New Roman" w:hAnsi="Times New Roman" w:cs="Times New Roman"/>
          <w:sz w:val="26"/>
          <w:szCs w:val="26"/>
          <w:lang w:val="es-MX"/>
        </w:rPr>
        <w:t xml:space="preserve"> </w:t>
      </w:r>
      <w:r w:rsidRPr="003017F5">
        <w:rPr>
          <w:rFonts w:ascii="Times New Roman" w:hAnsi="Times New Roman" w:cs="Times New Roman"/>
          <w:bCs/>
          <w:sz w:val="26"/>
          <w:szCs w:val="26"/>
          <w:lang w:val="es-MX"/>
        </w:rPr>
        <w:t xml:space="preserve">1,2 (Ag. 2018), </w:t>
      </w:r>
      <w:hyperlink r:id="rId2" w:history="1">
        <w:r w:rsidRPr="003017F5">
          <w:rPr>
            <w:rStyle w:val="Hyperlink"/>
            <w:rFonts w:ascii="Times New Roman" w:hAnsi="Times New Roman" w:cs="Times New Roman"/>
            <w:sz w:val="26"/>
            <w:szCs w:val="26"/>
            <w:lang w:val="es-MX"/>
          </w:rPr>
          <w:t>https://www.prearesourcecenter.org/sites/default/files/library/JAG-PREA-FAQ-2018_0.pdf</w:t>
        </w:r>
      </w:hyperlink>
      <w:r w:rsidRPr="003017F5">
        <w:rPr>
          <w:rFonts w:ascii="Times New Roman" w:hAnsi="Times New Roman" w:cs="Times New Roman"/>
          <w:sz w:val="26"/>
          <w:szCs w:val="26"/>
          <w:lang w:val="es-MX"/>
        </w:rPr>
        <w:t xml:space="preserve">. </w:t>
      </w:r>
    </w:p>
  </w:footnote>
  <w:footnote w:id="12">
    <w:p w:rsidR="00903283" w:rsidRPr="003017F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3017F5">
        <w:rPr>
          <w:sz w:val="26"/>
          <w:szCs w:val="26"/>
          <w:lang w:val="es-MX"/>
        </w:rPr>
        <w:t xml:space="preserve"> Departamento de Correcciones de Arizona,</w:t>
      </w:r>
      <w:r w:rsidR="00EE7190">
        <w:rPr>
          <w:sz w:val="26"/>
          <w:szCs w:val="26"/>
          <w:lang w:val="es-MX"/>
        </w:rPr>
        <w:t xml:space="preserve"> </w:t>
      </w:r>
      <w:r w:rsidRPr="003017F5">
        <w:rPr>
          <w:i/>
          <w:sz w:val="26"/>
          <w:szCs w:val="26"/>
          <w:lang w:val="es-MX"/>
        </w:rPr>
        <w:t xml:space="preserve">Orden de Departamento 125: Reporte de Delitos Sexuales </w:t>
      </w:r>
      <w:r w:rsidRPr="003017F5">
        <w:rPr>
          <w:sz w:val="26"/>
          <w:szCs w:val="26"/>
          <w:lang w:val="es-MX"/>
        </w:rPr>
        <w:t>(Mayo</w:t>
      </w:r>
      <w:r>
        <w:rPr>
          <w:sz w:val="26"/>
          <w:szCs w:val="26"/>
          <w:lang w:val="es-MX"/>
        </w:rPr>
        <w:t xml:space="preserve"> 30 del</w:t>
      </w:r>
      <w:r w:rsidRPr="003017F5">
        <w:rPr>
          <w:sz w:val="26"/>
          <w:szCs w:val="26"/>
          <w:lang w:val="es-MX"/>
        </w:rPr>
        <w:t xml:space="preserve"> 2018), </w:t>
      </w:r>
      <w:hyperlink r:id="rId3" w:history="1">
        <w:r w:rsidRPr="003017F5">
          <w:rPr>
            <w:rStyle w:val="Hyperlink"/>
            <w:sz w:val="26"/>
            <w:szCs w:val="26"/>
            <w:lang w:val="es-MX"/>
          </w:rPr>
          <w:t>https://corrections.az.gov/sites/default/files/policies/</w:t>
        </w:r>
        <w:r w:rsidRPr="003017F5">
          <w:rPr>
            <w:rStyle w:val="Hyperlink"/>
            <w:sz w:val="26"/>
            <w:szCs w:val="26"/>
            <w:lang w:val="es-MX"/>
          </w:rPr>
          <w:br/>
          <w:t>100/0125_032519.pdf</w:t>
        </w:r>
      </w:hyperlink>
      <w:r w:rsidRPr="003017F5">
        <w:rPr>
          <w:sz w:val="26"/>
          <w:szCs w:val="26"/>
          <w:lang w:val="es-MX"/>
        </w:rPr>
        <w:t xml:space="preserve"> (</w:t>
      </w:r>
      <w:r>
        <w:rPr>
          <w:i/>
          <w:sz w:val="26"/>
          <w:szCs w:val="26"/>
          <w:lang w:val="es-MX"/>
        </w:rPr>
        <w:t>en adelante</w:t>
      </w:r>
      <w:r w:rsidRPr="003017F5">
        <w:rPr>
          <w:i/>
          <w:sz w:val="26"/>
          <w:szCs w:val="26"/>
          <w:lang w:val="es-MX"/>
        </w:rPr>
        <w:t xml:space="preserve"> </w:t>
      </w:r>
      <w:r w:rsidRPr="003017F5">
        <w:rPr>
          <w:sz w:val="26"/>
          <w:szCs w:val="26"/>
          <w:lang w:val="es-MX"/>
        </w:rPr>
        <w:t xml:space="preserve">D.O. 125). </w:t>
      </w:r>
    </w:p>
  </w:footnote>
  <w:footnote w:id="13">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en 1.</w:t>
      </w:r>
    </w:p>
  </w:footnote>
  <w:footnote w:id="14">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 1.2.</w:t>
      </w:r>
    </w:p>
  </w:footnote>
  <w:footnote w:id="15">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 1.2.</w:t>
      </w:r>
    </w:p>
  </w:footnote>
  <w:footnote w:id="16">
    <w:p w:rsidR="00903283" w:rsidRPr="0031276A" w:rsidRDefault="00903283" w:rsidP="001C11C0">
      <w:pPr>
        <w:tabs>
          <w:tab w:val="left" w:pos="450"/>
        </w:tabs>
        <w:autoSpaceDE w:val="0"/>
        <w:autoSpaceDN w:val="0"/>
        <w:adjustRightInd w:val="0"/>
        <w:ind w:firstLine="720"/>
        <w:jc w:val="both"/>
        <w:rPr>
          <w:sz w:val="26"/>
          <w:szCs w:val="26"/>
          <w:lang w:val="es-MX"/>
        </w:rPr>
      </w:pPr>
      <w:r w:rsidRPr="007A2ACB">
        <w:rPr>
          <w:rStyle w:val="FootnoteReference"/>
          <w:sz w:val="26"/>
          <w:szCs w:val="26"/>
        </w:rPr>
        <w:footnoteRef/>
      </w:r>
      <w:r w:rsidRPr="00761C00">
        <w:rPr>
          <w:sz w:val="26"/>
          <w:szCs w:val="26"/>
          <w:lang w:val="es-MX"/>
        </w:rPr>
        <w:t xml:space="preserve"> </w:t>
      </w:r>
      <w:r w:rsidRPr="00761C00">
        <w:rPr>
          <w:i/>
          <w:sz w:val="26"/>
          <w:szCs w:val="26"/>
          <w:lang w:val="es-MX"/>
        </w:rPr>
        <w:t>Id.</w:t>
      </w:r>
      <w:r w:rsidRPr="00761C00">
        <w:rPr>
          <w:sz w:val="26"/>
          <w:szCs w:val="26"/>
          <w:lang w:val="es-MX"/>
        </w:rPr>
        <w:t xml:space="preserve"> § 1.21, §§1.2.1.2 –1.2.1.2.3 (Incluye cualquier: “Tocamiento completado, intentado, amenazado o solicitado de genitales, ano, ingle, senos muslo interno, </w:t>
      </w:r>
      <w:r>
        <w:rPr>
          <w:sz w:val="26"/>
          <w:szCs w:val="26"/>
          <w:lang w:val="es-MX"/>
        </w:rPr>
        <w:t xml:space="preserve">área púbica o nalgas. </w:t>
      </w:r>
      <w:proofErr w:type="spellStart"/>
      <w:r>
        <w:rPr>
          <w:sz w:val="26"/>
          <w:szCs w:val="26"/>
          <w:lang w:val="es-MX"/>
        </w:rPr>
        <w:t>A.R.S</w:t>
      </w:r>
      <w:proofErr w:type="spellEnd"/>
      <w:r>
        <w:rPr>
          <w:sz w:val="26"/>
          <w:szCs w:val="26"/>
          <w:lang w:val="es-MX"/>
        </w:rPr>
        <w:t>.</w:t>
      </w:r>
      <w:r w:rsidRPr="00761C00">
        <w:rPr>
          <w:sz w:val="26"/>
          <w:szCs w:val="26"/>
          <w:lang w:val="es-MX"/>
        </w:rPr>
        <w:t xml:space="preserve"> §13-1419;</w:t>
      </w:r>
      <w:r w:rsidR="00EE7190">
        <w:rPr>
          <w:sz w:val="26"/>
          <w:szCs w:val="26"/>
          <w:lang w:val="es-MX"/>
        </w:rPr>
        <w:t xml:space="preserve"> </w:t>
      </w:r>
      <w:r>
        <w:rPr>
          <w:sz w:val="26"/>
          <w:szCs w:val="26"/>
          <w:lang w:val="es-MX"/>
        </w:rPr>
        <w:t xml:space="preserve">Exposición de </w:t>
      </w:r>
      <w:r w:rsidRPr="00761C00">
        <w:rPr>
          <w:sz w:val="26"/>
          <w:szCs w:val="26"/>
          <w:lang w:val="es-MX"/>
        </w:rPr>
        <w:t xml:space="preserve">genitales, ano, ingle, senos muslo interno, </w:t>
      </w:r>
      <w:r>
        <w:rPr>
          <w:sz w:val="26"/>
          <w:szCs w:val="26"/>
          <w:lang w:val="es-MX"/>
        </w:rPr>
        <w:t>área púbica o nalgas.</w:t>
      </w:r>
      <w:r w:rsidRPr="00761C00">
        <w:rPr>
          <w:sz w:val="26"/>
          <w:szCs w:val="26"/>
          <w:lang w:val="es-MX"/>
        </w:rPr>
        <w:t xml:space="preserve"> A.R.S. §13-1419; La fotografía, </w:t>
      </w:r>
      <w:proofErr w:type="spellStart"/>
      <w:r w:rsidRPr="00761C00">
        <w:rPr>
          <w:sz w:val="26"/>
          <w:szCs w:val="26"/>
          <w:lang w:val="es-MX"/>
        </w:rPr>
        <w:t>vidograbación</w:t>
      </w:r>
      <w:proofErr w:type="spellEnd"/>
      <w:r w:rsidRPr="00761C00">
        <w:rPr>
          <w:sz w:val="26"/>
          <w:szCs w:val="26"/>
          <w:lang w:val="es-MX"/>
        </w:rPr>
        <w:t>, filmación, video digital</w:t>
      </w:r>
      <w:r>
        <w:rPr>
          <w:sz w:val="26"/>
          <w:szCs w:val="26"/>
          <w:lang w:val="es-MX"/>
        </w:rPr>
        <w:t xml:space="preserve"> o de otra manera la visualización – con o sin algún aparato de un interno o agresor, mientras el interno o agresor está en un estado de desnudez o desnudez parcial, o mientras el interno o agresor esté orinando o defecando.</w:t>
      </w:r>
      <w:r w:rsidRPr="0031276A">
        <w:rPr>
          <w:sz w:val="26"/>
          <w:szCs w:val="26"/>
          <w:lang w:val="es-MX"/>
        </w:rPr>
        <w:t xml:space="preserve"> </w:t>
      </w:r>
      <w:proofErr w:type="spellStart"/>
      <w:r w:rsidRPr="0031276A">
        <w:rPr>
          <w:sz w:val="26"/>
          <w:szCs w:val="26"/>
          <w:lang w:val="es-MX"/>
        </w:rPr>
        <w:t>A.R.S</w:t>
      </w:r>
      <w:proofErr w:type="spellEnd"/>
      <w:r w:rsidRPr="0031276A">
        <w:rPr>
          <w:sz w:val="26"/>
          <w:szCs w:val="26"/>
          <w:lang w:val="es-MX"/>
        </w:rPr>
        <w:t>. §13-1419”);</w:t>
      </w:r>
      <w:r w:rsidR="00EE7190">
        <w:rPr>
          <w:sz w:val="26"/>
          <w:szCs w:val="26"/>
          <w:lang w:val="es-MX"/>
        </w:rPr>
        <w:t xml:space="preserve"> </w:t>
      </w:r>
      <w:r>
        <w:rPr>
          <w:sz w:val="26"/>
          <w:szCs w:val="26"/>
          <w:lang w:val="es-MX"/>
        </w:rPr>
        <w:t xml:space="preserve">Esto no aplica a los actos </w:t>
      </w:r>
      <w:proofErr w:type="spellStart"/>
      <w:r>
        <w:rPr>
          <w:sz w:val="26"/>
          <w:szCs w:val="26"/>
          <w:lang w:val="es-MX"/>
        </w:rPr>
        <w:t>p</w:t>
      </w:r>
      <w:r w:rsidRPr="0031276A">
        <w:rPr>
          <w:sz w:val="26"/>
          <w:szCs w:val="26"/>
          <w:lang w:val="es-MX"/>
        </w:rPr>
        <w:t>hechos</w:t>
      </w:r>
      <w:proofErr w:type="spellEnd"/>
      <w:r w:rsidRPr="0031276A">
        <w:rPr>
          <w:sz w:val="26"/>
          <w:szCs w:val="26"/>
          <w:lang w:val="es-MX"/>
        </w:rPr>
        <w:t xml:space="preserve"> por </w:t>
      </w:r>
      <w:r>
        <w:rPr>
          <w:sz w:val="26"/>
          <w:szCs w:val="26"/>
          <w:lang w:val="es-MX"/>
        </w:rPr>
        <w:t>personas</w:t>
      </w:r>
      <w:r w:rsidRPr="0031276A">
        <w:rPr>
          <w:sz w:val="26"/>
          <w:szCs w:val="26"/>
          <w:lang w:val="es-MX"/>
        </w:rPr>
        <w:t xml:space="preserve"> legalmente casadas con la person</w:t>
      </w:r>
      <w:r>
        <w:rPr>
          <w:sz w:val="26"/>
          <w:szCs w:val="26"/>
          <w:lang w:val="es-MX"/>
        </w:rPr>
        <w:t>a encarcelada previo al encarcelamiento; o actos de “bona fide” como exámenes médicos, revisiones internas legales; o Colección de muestras de orina para análisis como se indica en</w:t>
      </w:r>
      <w:r w:rsidR="00EE7190">
        <w:rPr>
          <w:sz w:val="26"/>
          <w:szCs w:val="26"/>
          <w:lang w:val="es-MX"/>
        </w:rPr>
        <w:t xml:space="preserve"> </w:t>
      </w:r>
      <w:proofErr w:type="spellStart"/>
      <w:r w:rsidRPr="0031276A">
        <w:rPr>
          <w:sz w:val="26"/>
          <w:szCs w:val="26"/>
          <w:lang w:val="es-MX"/>
        </w:rPr>
        <w:t>ADC</w:t>
      </w:r>
      <w:proofErr w:type="spellEnd"/>
      <w:r w:rsidRPr="0031276A">
        <w:rPr>
          <w:sz w:val="26"/>
          <w:szCs w:val="26"/>
          <w:lang w:val="es-MX"/>
        </w:rPr>
        <w:t xml:space="preserve"> </w:t>
      </w:r>
      <w:proofErr w:type="spellStart"/>
      <w:r w:rsidRPr="0031276A">
        <w:rPr>
          <w:sz w:val="26"/>
          <w:szCs w:val="26"/>
          <w:lang w:val="es-MX"/>
        </w:rPr>
        <w:t>D.O</w:t>
      </w:r>
      <w:proofErr w:type="spellEnd"/>
      <w:r w:rsidRPr="0031276A">
        <w:rPr>
          <w:sz w:val="26"/>
          <w:szCs w:val="26"/>
          <w:lang w:val="es-MX"/>
        </w:rPr>
        <w:t>. 709.</w:t>
      </w:r>
      <w:r w:rsidR="00EE7190">
        <w:rPr>
          <w:sz w:val="26"/>
          <w:szCs w:val="26"/>
          <w:lang w:val="es-MX"/>
        </w:rPr>
        <w:t xml:space="preserve"> </w:t>
      </w:r>
      <w:proofErr w:type="spellStart"/>
      <w:r w:rsidRPr="0031276A">
        <w:rPr>
          <w:sz w:val="26"/>
          <w:szCs w:val="26"/>
          <w:lang w:val="es-MX"/>
        </w:rPr>
        <w:t>D.O</w:t>
      </w:r>
      <w:proofErr w:type="spellEnd"/>
      <w:r w:rsidRPr="0031276A">
        <w:rPr>
          <w:sz w:val="26"/>
          <w:szCs w:val="26"/>
          <w:lang w:val="es-MX"/>
        </w:rPr>
        <w:t>. 125, § 1.2.1.3.</w:t>
      </w:r>
    </w:p>
  </w:footnote>
  <w:footnote w:id="17">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D.O. 125, §§ 1.2,</w:t>
      </w:r>
      <w:r w:rsidR="00EE7190">
        <w:rPr>
          <w:sz w:val="26"/>
          <w:szCs w:val="26"/>
          <w:lang w:val="es-MX"/>
        </w:rPr>
        <w:t xml:space="preserve"> </w:t>
      </w:r>
      <w:r w:rsidRPr="00472095">
        <w:rPr>
          <w:sz w:val="26"/>
          <w:szCs w:val="26"/>
          <w:lang w:val="es-MX"/>
        </w:rPr>
        <w:t xml:space="preserve">1.2.3; </w:t>
      </w:r>
      <w:r w:rsidRPr="00472095">
        <w:rPr>
          <w:i/>
          <w:sz w:val="26"/>
          <w:szCs w:val="26"/>
          <w:lang w:val="es-MX"/>
        </w:rPr>
        <w:t>Ver</w:t>
      </w:r>
      <w:r w:rsidRPr="00472095">
        <w:rPr>
          <w:sz w:val="26"/>
          <w:szCs w:val="26"/>
          <w:lang w:val="es-MX"/>
        </w:rPr>
        <w:t xml:space="preserve"> </w:t>
      </w:r>
      <w:proofErr w:type="spellStart"/>
      <w:r w:rsidRPr="00472095">
        <w:rPr>
          <w:sz w:val="26"/>
          <w:szCs w:val="26"/>
          <w:lang w:val="es-MX"/>
        </w:rPr>
        <w:t>A.R.S</w:t>
      </w:r>
      <w:proofErr w:type="spellEnd"/>
      <w:r w:rsidRPr="00472095">
        <w:rPr>
          <w:sz w:val="26"/>
          <w:szCs w:val="26"/>
          <w:lang w:val="es-MX"/>
        </w:rPr>
        <w:t>. § 13-1419.</w:t>
      </w:r>
    </w:p>
  </w:footnote>
  <w:footnote w:id="18">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D.O. 125, § 1.3.</w:t>
      </w:r>
    </w:p>
  </w:footnote>
  <w:footnote w:id="19">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 1.3.1–1.3.3.</w:t>
      </w:r>
    </w:p>
  </w:footnote>
  <w:footnote w:id="20">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 1.3.3.</w:t>
      </w:r>
    </w:p>
  </w:footnote>
  <w:footnote w:id="21">
    <w:p w:rsidR="00903283" w:rsidRPr="00C80F8E"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C80F8E">
        <w:rPr>
          <w:sz w:val="26"/>
          <w:szCs w:val="26"/>
          <w:lang w:val="es-MX"/>
        </w:rPr>
        <w:t xml:space="preserve"> </w:t>
      </w:r>
      <w:r w:rsidRPr="00C80F8E">
        <w:rPr>
          <w:i/>
          <w:sz w:val="26"/>
          <w:szCs w:val="26"/>
          <w:lang w:val="es-MX"/>
        </w:rPr>
        <w:t xml:space="preserve">Ver, </w:t>
      </w:r>
      <w:proofErr w:type="spellStart"/>
      <w:r w:rsidRPr="00C80F8E">
        <w:rPr>
          <w:i/>
          <w:sz w:val="26"/>
          <w:szCs w:val="26"/>
          <w:lang w:val="es-MX"/>
        </w:rPr>
        <w:t>e.g</w:t>
      </w:r>
      <w:proofErr w:type="spellEnd"/>
      <w:r w:rsidRPr="00C80F8E">
        <w:rPr>
          <w:i/>
          <w:sz w:val="26"/>
          <w:szCs w:val="26"/>
          <w:lang w:val="es-MX"/>
        </w:rPr>
        <w:t>.</w:t>
      </w:r>
      <w:r w:rsidRPr="00C80F8E">
        <w:rPr>
          <w:sz w:val="26"/>
          <w:szCs w:val="26"/>
          <w:lang w:val="es-MX"/>
        </w:rPr>
        <w:t>, A.R.S. §§ 13-1404 (abuso sexual), 13-1406 (ataque sexual), 13-1419 (cen</w:t>
      </w:r>
      <w:r>
        <w:rPr>
          <w:sz w:val="26"/>
          <w:szCs w:val="26"/>
          <w:lang w:val="es-MX"/>
        </w:rPr>
        <w:t>tros correccionales de conducta sexual ilegal</w:t>
      </w:r>
      <w:r w:rsidRPr="00C80F8E">
        <w:rPr>
          <w:sz w:val="26"/>
          <w:szCs w:val="26"/>
          <w:lang w:val="es-MX"/>
        </w:rPr>
        <w:t>), 13-1428 (</w:t>
      </w:r>
      <w:r>
        <w:rPr>
          <w:sz w:val="26"/>
          <w:szCs w:val="26"/>
          <w:lang w:val="es-MX"/>
        </w:rPr>
        <w:t xml:space="preserve">extorsión </w:t>
      </w:r>
      <w:r w:rsidRPr="00C80F8E">
        <w:rPr>
          <w:sz w:val="26"/>
          <w:szCs w:val="26"/>
          <w:lang w:val="es-MX"/>
        </w:rPr>
        <w:t>sexual).</w:t>
      </w:r>
    </w:p>
  </w:footnote>
  <w:footnote w:id="22">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Ver</w:t>
      </w:r>
      <w:r w:rsidRPr="00472095">
        <w:rPr>
          <w:sz w:val="26"/>
          <w:szCs w:val="26"/>
          <w:lang w:val="es-MX"/>
        </w:rPr>
        <w:t xml:space="preserve"> D.O. 125, §§ 1.2.3, 1.3.3.</w:t>
      </w:r>
    </w:p>
  </w:footnote>
  <w:footnote w:id="23">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§6.1.2.</w:t>
      </w:r>
    </w:p>
  </w:footnote>
  <w:footnote w:id="24">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 3.1.2.</w:t>
      </w:r>
    </w:p>
  </w:footnote>
  <w:footnote w:id="25">
    <w:p w:rsidR="00903283" w:rsidRPr="00472095" w:rsidRDefault="00903283" w:rsidP="001C11C0">
      <w:pPr>
        <w:tabs>
          <w:tab w:val="left" w:pos="450"/>
        </w:tabs>
        <w:autoSpaceDE w:val="0"/>
        <w:autoSpaceDN w:val="0"/>
        <w:adjustRightInd w:val="0"/>
        <w:ind w:firstLine="720"/>
        <w:jc w:val="both"/>
        <w:rPr>
          <w:sz w:val="26"/>
          <w:szCs w:val="26"/>
          <w:lang w:val="es-MX"/>
        </w:rPr>
      </w:pPr>
      <w:r w:rsidRPr="007A2ACB">
        <w:rPr>
          <w:rStyle w:val="FootnoteReference"/>
          <w:sz w:val="26"/>
          <w:szCs w:val="26"/>
        </w:rPr>
        <w:footnoteRef/>
      </w:r>
      <w:r w:rsidRPr="00C80F8E">
        <w:rPr>
          <w:sz w:val="26"/>
          <w:szCs w:val="26"/>
          <w:lang w:val="es-MX"/>
        </w:rPr>
        <w:t xml:space="preserve"> “</w:t>
      </w:r>
      <w:r>
        <w:rPr>
          <w:sz w:val="26"/>
          <w:szCs w:val="26"/>
          <w:lang w:val="es-MX"/>
        </w:rPr>
        <w:t>La identidad y dig</w:t>
      </w:r>
      <w:r w:rsidRPr="00C80F8E">
        <w:rPr>
          <w:sz w:val="26"/>
          <w:szCs w:val="26"/>
          <w:lang w:val="es-MX"/>
        </w:rPr>
        <w:t>nidad de la v</w:t>
      </w:r>
      <w:r>
        <w:rPr>
          <w:sz w:val="26"/>
          <w:szCs w:val="26"/>
          <w:lang w:val="es-MX"/>
        </w:rPr>
        <w:t>íctima será</w:t>
      </w:r>
      <w:r w:rsidRPr="00C80F8E">
        <w:rPr>
          <w:sz w:val="26"/>
          <w:szCs w:val="26"/>
          <w:lang w:val="es-MX"/>
        </w:rPr>
        <w:t xml:space="preserve"> protegida en la mayor manera posible.” </w:t>
      </w:r>
      <w:r w:rsidRPr="00472095">
        <w:rPr>
          <w:i/>
          <w:sz w:val="26"/>
          <w:szCs w:val="26"/>
          <w:lang w:val="es-MX"/>
        </w:rPr>
        <w:t>Id.</w:t>
      </w:r>
      <w:r w:rsidRPr="00472095">
        <w:rPr>
          <w:sz w:val="26"/>
          <w:szCs w:val="26"/>
          <w:lang w:val="es-MX"/>
        </w:rPr>
        <w:t xml:space="preserve">, § 9.1. </w:t>
      </w:r>
      <w:r w:rsidRPr="00C80F8E">
        <w:rPr>
          <w:sz w:val="26"/>
          <w:szCs w:val="26"/>
          <w:lang w:val="es-MX"/>
        </w:rPr>
        <w:t>El personal penitenciario debe preservar la confidencialidad a excepción</w:t>
      </w:r>
      <w:r w:rsidR="00EE7190">
        <w:rPr>
          <w:sz w:val="26"/>
          <w:szCs w:val="26"/>
          <w:lang w:val="es-MX"/>
        </w:rPr>
        <w:t xml:space="preserve"> </w:t>
      </w:r>
      <w:r w:rsidRPr="00C80F8E">
        <w:rPr>
          <w:sz w:val="26"/>
          <w:szCs w:val="26"/>
          <w:lang w:val="es-MX"/>
        </w:rPr>
        <w:t>cuando se tenga que dar informaci</w:t>
      </w:r>
      <w:r>
        <w:rPr>
          <w:sz w:val="26"/>
          <w:szCs w:val="26"/>
          <w:lang w:val="es-MX"/>
        </w:rPr>
        <w:t>ón en lo relativo a investigaciones.</w:t>
      </w:r>
      <w:r w:rsidRPr="00C80F8E">
        <w:rPr>
          <w:sz w:val="26"/>
          <w:szCs w:val="26"/>
          <w:lang w:val="es-MX"/>
        </w:rPr>
        <w:t xml:space="preserve"> </w:t>
      </w:r>
      <w:r w:rsidRPr="00472095">
        <w:rPr>
          <w:i/>
          <w:sz w:val="26"/>
          <w:szCs w:val="26"/>
          <w:lang w:val="es-MX"/>
        </w:rPr>
        <w:t>Ver id.</w:t>
      </w:r>
      <w:r w:rsidRPr="00472095">
        <w:rPr>
          <w:sz w:val="26"/>
          <w:szCs w:val="26"/>
          <w:lang w:val="es-MX"/>
        </w:rPr>
        <w:t xml:space="preserve">, § 6.0 </w:t>
      </w:r>
      <w:r w:rsidRPr="00472095">
        <w:rPr>
          <w:i/>
          <w:sz w:val="26"/>
          <w:szCs w:val="26"/>
          <w:lang w:val="es-MX"/>
        </w:rPr>
        <w:t xml:space="preserve">et. </w:t>
      </w:r>
      <w:proofErr w:type="spellStart"/>
      <w:r w:rsidRPr="00472095">
        <w:rPr>
          <w:i/>
          <w:sz w:val="26"/>
          <w:szCs w:val="26"/>
          <w:lang w:val="es-MX"/>
        </w:rPr>
        <w:t>seq</w:t>
      </w:r>
      <w:proofErr w:type="spellEnd"/>
      <w:r w:rsidRPr="00472095">
        <w:rPr>
          <w:sz w:val="26"/>
          <w:szCs w:val="26"/>
          <w:lang w:val="es-MX"/>
        </w:rPr>
        <w:t>.</w:t>
      </w:r>
    </w:p>
  </w:footnote>
  <w:footnote w:id="26">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 3.2.2.2..</w:t>
      </w:r>
    </w:p>
  </w:footnote>
  <w:footnote w:id="27">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 3.2.1–3.2.2.2.</w:t>
      </w:r>
    </w:p>
  </w:footnote>
  <w:footnote w:id="28">
    <w:p w:rsidR="00903283" w:rsidRPr="0047209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72095">
        <w:rPr>
          <w:sz w:val="26"/>
          <w:szCs w:val="26"/>
          <w:lang w:val="es-MX"/>
        </w:rPr>
        <w:t xml:space="preserve"> </w:t>
      </w:r>
      <w:r w:rsidRPr="00472095">
        <w:rPr>
          <w:i/>
          <w:sz w:val="26"/>
          <w:szCs w:val="26"/>
          <w:lang w:val="es-MX"/>
        </w:rPr>
        <w:t>Id.</w:t>
      </w:r>
      <w:r w:rsidRPr="00472095">
        <w:rPr>
          <w:sz w:val="26"/>
          <w:szCs w:val="26"/>
          <w:lang w:val="es-MX"/>
        </w:rPr>
        <w:t>. 125, § 3.2.3.</w:t>
      </w:r>
    </w:p>
  </w:footnote>
  <w:footnote w:id="29">
    <w:p w:rsidR="00903283" w:rsidRPr="007A2ACB" w:rsidRDefault="00903283" w:rsidP="001C11C0">
      <w:pPr>
        <w:pStyle w:val="BFootnote"/>
        <w:numPr>
          <w:ilvl w:val="0"/>
          <w:numId w:val="0"/>
        </w:numPr>
        <w:tabs>
          <w:tab w:val="clear" w:pos="432"/>
          <w:tab w:val="left" w:pos="450"/>
        </w:tabs>
        <w:ind w:firstLine="720"/>
        <w:jc w:val="both"/>
        <w:rPr>
          <w:sz w:val="26"/>
          <w:szCs w:val="26"/>
        </w:rPr>
      </w:pPr>
      <w:r w:rsidRPr="007A2ACB">
        <w:rPr>
          <w:rStyle w:val="FootnoteReference"/>
          <w:sz w:val="26"/>
          <w:szCs w:val="26"/>
        </w:rPr>
        <w:footnoteRef/>
      </w:r>
      <w:r w:rsidRPr="00A91F21">
        <w:rPr>
          <w:sz w:val="26"/>
          <w:szCs w:val="26"/>
          <w:lang w:val="es-MX"/>
        </w:rPr>
        <w:t xml:space="preserve"> </w:t>
      </w:r>
      <w:r w:rsidRPr="00A91F21">
        <w:rPr>
          <w:i/>
          <w:sz w:val="26"/>
          <w:szCs w:val="26"/>
          <w:lang w:val="es-MX"/>
        </w:rPr>
        <w:t>Id.</w:t>
      </w:r>
      <w:r w:rsidRPr="00A91F21">
        <w:rPr>
          <w:sz w:val="26"/>
          <w:szCs w:val="26"/>
          <w:lang w:val="es-MX"/>
        </w:rPr>
        <w:t>, § 3.3.12 (se exige que el personal penitenciario</w:t>
      </w:r>
      <w:r w:rsidR="00EE7190">
        <w:rPr>
          <w:sz w:val="26"/>
          <w:szCs w:val="26"/>
          <w:lang w:val="es-MX"/>
        </w:rPr>
        <w:t xml:space="preserve"> </w:t>
      </w:r>
      <w:r w:rsidRPr="00A91F21">
        <w:rPr>
          <w:sz w:val="26"/>
          <w:szCs w:val="26"/>
          <w:lang w:val="es-MX"/>
        </w:rPr>
        <w:t>complete el formato 105-3 (Reporte de Incidente</w:t>
      </w:r>
      <w:r>
        <w:rPr>
          <w:sz w:val="26"/>
          <w:szCs w:val="26"/>
          <w:lang w:val="es-MX"/>
        </w:rPr>
        <w:t>s</w:t>
      </w:r>
      <w:r w:rsidRPr="00A91F21">
        <w:rPr>
          <w:sz w:val="26"/>
          <w:szCs w:val="26"/>
          <w:lang w:val="es-MX"/>
        </w:rPr>
        <w:t xml:space="preserve"> Significativo</w:t>
      </w:r>
      <w:r>
        <w:rPr>
          <w:sz w:val="26"/>
          <w:szCs w:val="26"/>
          <w:lang w:val="es-MX"/>
        </w:rPr>
        <w:t>s)</w:t>
      </w:r>
      <w:r w:rsidRPr="00A91F21">
        <w:rPr>
          <w:sz w:val="26"/>
          <w:szCs w:val="26"/>
          <w:lang w:val="es-MX"/>
        </w:rPr>
        <w:t xml:space="preserve"> </w:t>
      </w:r>
      <w:r>
        <w:rPr>
          <w:sz w:val="26"/>
          <w:szCs w:val="26"/>
          <w:lang w:val="es-MX"/>
        </w:rPr>
        <w:t xml:space="preserve">y el formato </w:t>
      </w:r>
      <w:r w:rsidRPr="00A91F21">
        <w:rPr>
          <w:sz w:val="26"/>
          <w:szCs w:val="26"/>
          <w:lang w:val="es-MX"/>
        </w:rPr>
        <w:t>125-1 (</w:t>
      </w:r>
      <w:r>
        <w:rPr>
          <w:sz w:val="26"/>
          <w:szCs w:val="26"/>
          <w:lang w:val="es-MX"/>
        </w:rPr>
        <w:t>Lista de revisión de Procedimientos Sobre Agresión Sexual</w:t>
      </w:r>
      <w:r w:rsidRPr="00A91F21">
        <w:rPr>
          <w:sz w:val="26"/>
          <w:szCs w:val="26"/>
          <w:lang w:val="es-MX"/>
        </w:rPr>
        <w:t xml:space="preserve">). </w:t>
      </w:r>
      <w:proofErr w:type="spellStart"/>
      <w:r>
        <w:rPr>
          <w:i/>
          <w:sz w:val="26"/>
          <w:szCs w:val="26"/>
        </w:rPr>
        <w:t>Ver</w:t>
      </w:r>
      <w:proofErr w:type="spellEnd"/>
      <w:r w:rsidRPr="007A2ACB">
        <w:rPr>
          <w:sz w:val="26"/>
          <w:szCs w:val="26"/>
        </w:rPr>
        <w:t xml:space="preserve"> </w:t>
      </w:r>
      <w:proofErr w:type="spellStart"/>
      <w:r w:rsidRPr="007A2ACB">
        <w:rPr>
          <w:sz w:val="26"/>
          <w:szCs w:val="26"/>
        </w:rPr>
        <w:t>D.O</w:t>
      </w:r>
      <w:proofErr w:type="spellEnd"/>
      <w:r w:rsidRPr="007A2ACB">
        <w:rPr>
          <w:sz w:val="26"/>
          <w:szCs w:val="26"/>
        </w:rPr>
        <w:t>. 125, §§ 3.3.11–3.3.12.</w:t>
      </w:r>
    </w:p>
  </w:footnote>
  <w:footnote w:id="30">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6.3.1–6.3.2.</w:t>
      </w:r>
    </w:p>
  </w:footnote>
  <w:footnote w:id="31">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3.1.1.</w:t>
      </w:r>
    </w:p>
  </w:footnote>
  <w:footnote w:id="32">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3.1.1.</w:t>
      </w:r>
    </w:p>
  </w:footnote>
  <w:footnote w:id="33">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3.3.1.2.1,</w:t>
      </w:r>
      <w:r w:rsidR="00EE7190">
        <w:rPr>
          <w:sz w:val="26"/>
          <w:szCs w:val="26"/>
        </w:rPr>
        <w:t xml:space="preserve"> </w:t>
      </w:r>
      <w:r w:rsidRPr="007A2ACB">
        <w:rPr>
          <w:sz w:val="26"/>
          <w:szCs w:val="26"/>
        </w:rPr>
        <w:t>3.3.1.2.2.</w:t>
      </w:r>
    </w:p>
  </w:footnote>
  <w:footnote w:id="34">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w:t>
      </w:r>
      <w:r>
        <w:rPr>
          <w:sz w:val="26"/>
          <w:szCs w:val="26"/>
        </w:rPr>
        <w:t>§</w:t>
      </w:r>
      <w:r w:rsidRPr="007A2ACB">
        <w:rPr>
          <w:sz w:val="26"/>
          <w:szCs w:val="26"/>
        </w:rPr>
        <w:t xml:space="preserve"> 4.1.1</w:t>
      </w:r>
      <w:r>
        <w:rPr>
          <w:sz w:val="26"/>
          <w:szCs w:val="26"/>
        </w:rPr>
        <w:t>, 4.1.4.5</w:t>
      </w:r>
      <w:r w:rsidRPr="007A2ACB">
        <w:rPr>
          <w:sz w:val="26"/>
          <w:szCs w:val="26"/>
        </w:rPr>
        <w:t>.</w:t>
      </w:r>
    </w:p>
  </w:footnote>
  <w:footnote w:id="35">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4.2.3.</w:t>
      </w:r>
    </w:p>
  </w:footnote>
  <w:footnote w:id="36">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5, § 4.2.3.1.</w:t>
      </w:r>
    </w:p>
  </w:footnote>
  <w:footnote w:id="37">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4.1.4.4.</w:t>
      </w:r>
    </w:p>
  </w:footnote>
  <w:footnote w:id="38">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4.1.4.5.</w:t>
      </w:r>
    </w:p>
  </w:footnote>
  <w:footnote w:id="39">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3.3.4.3, 5.3.1.</w:t>
      </w:r>
    </w:p>
  </w:footnote>
  <w:footnote w:id="40">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5.2.</w:t>
      </w:r>
    </w:p>
  </w:footnote>
  <w:footnote w:id="41">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5.5.</w:t>
      </w:r>
    </w:p>
  </w:footnote>
  <w:footnote w:id="42">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2.4.1.</w:t>
      </w:r>
    </w:p>
  </w:footnote>
  <w:footnote w:id="43">
    <w:p w:rsidR="00903283" w:rsidRPr="007A2ACB" w:rsidRDefault="00903283" w:rsidP="007A2ACB">
      <w:pPr>
        <w:pStyle w:val="FootnoteText"/>
        <w:tabs>
          <w:tab w:val="left" w:pos="450"/>
        </w:tabs>
        <w:ind w:firstLine="720"/>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1.4.</w:t>
      </w:r>
    </w:p>
  </w:footnote>
  <w:footnote w:id="44">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w:t>
      </w:r>
    </w:p>
  </w:footnote>
  <w:footnote w:id="45">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6.1.</w:t>
      </w:r>
    </w:p>
  </w:footnote>
  <w:footnote w:id="46">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6.1.2, 6.1.2.1.</w:t>
      </w:r>
    </w:p>
  </w:footnote>
  <w:footnote w:id="47">
    <w:p w:rsidR="00903283" w:rsidRPr="007A2ACB" w:rsidRDefault="00903283" w:rsidP="001C11C0">
      <w:pPr>
        <w:pStyle w:val="FootnoteText"/>
        <w:tabs>
          <w:tab w:val="left" w:pos="450"/>
        </w:tabs>
        <w:ind w:firstLine="720"/>
        <w:jc w:val="both"/>
        <w:rPr>
          <w:sz w:val="26"/>
          <w:szCs w:val="26"/>
        </w:rPr>
      </w:pPr>
      <w:r w:rsidRPr="007A2ACB">
        <w:rPr>
          <w:rStyle w:val="FootnoteReference"/>
          <w:sz w:val="26"/>
          <w:szCs w:val="26"/>
        </w:rPr>
        <w:footnoteRef/>
      </w:r>
      <w:r w:rsidRPr="007A2ACB">
        <w:rPr>
          <w:sz w:val="26"/>
          <w:szCs w:val="26"/>
        </w:rPr>
        <w:t xml:space="preserve"> </w:t>
      </w:r>
      <w:r w:rsidRPr="009F563A">
        <w:rPr>
          <w:i/>
          <w:sz w:val="26"/>
          <w:szCs w:val="26"/>
        </w:rPr>
        <w:t>Id.</w:t>
      </w:r>
      <w:r w:rsidRPr="007A2ACB">
        <w:rPr>
          <w:sz w:val="26"/>
          <w:szCs w:val="26"/>
        </w:rPr>
        <w:t>, § 6.1.2.2.</w:t>
      </w:r>
    </w:p>
  </w:footnote>
  <w:footnote w:id="48">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w:t>
      </w:r>
      <w:r w:rsidRPr="006F115C">
        <w:rPr>
          <w:i/>
          <w:sz w:val="26"/>
          <w:szCs w:val="26"/>
          <w:lang w:val="es-MX"/>
        </w:rPr>
        <w:t>Id.</w:t>
      </w:r>
      <w:r w:rsidRPr="006F115C">
        <w:rPr>
          <w:sz w:val="26"/>
          <w:szCs w:val="26"/>
          <w:lang w:val="es-MX"/>
        </w:rPr>
        <w:t>, § 6.1.1.</w:t>
      </w:r>
    </w:p>
  </w:footnote>
  <w:footnote w:id="49">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D.O. 805, § 1.1.</w:t>
      </w:r>
    </w:p>
  </w:footnote>
  <w:footnote w:id="50">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w:t>
      </w:r>
      <w:r w:rsidRPr="006F115C">
        <w:rPr>
          <w:i/>
          <w:sz w:val="26"/>
          <w:szCs w:val="26"/>
          <w:lang w:val="es-MX"/>
        </w:rPr>
        <w:t>Id.</w:t>
      </w:r>
      <w:r w:rsidRPr="006F115C">
        <w:rPr>
          <w:sz w:val="26"/>
          <w:szCs w:val="26"/>
          <w:lang w:val="es-MX"/>
        </w:rPr>
        <w:t>, § 2.1.1.</w:t>
      </w:r>
    </w:p>
  </w:footnote>
  <w:footnote w:id="51">
    <w:p w:rsidR="00903283" w:rsidRPr="004E17A5"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4E17A5">
        <w:rPr>
          <w:sz w:val="26"/>
          <w:szCs w:val="26"/>
          <w:lang w:val="es-MX"/>
        </w:rPr>
        <w:t xml:space="preserve"> </w:t>
      </w:r>
      <w:proofErr w:type="spellStart"/>
      <w:r w:rsidRPr="004E17A5">
        <w:rPr>
          <w:sz w:val="26"/>
          <w:szCs w:val="26"/>
          <w:lang w:val="es-MX"/>
        </w:rPr>
        <w:t>Prison</w:t>
      </w:r>
      <w:proofErr w:type="spellEnd"/>
      <w:r w:rsidRPr="004E17A5">
        <w:rPr>
          <w:sz w:val="26"/>
          <w:szCs w:val="26"/>
          <w:lang w:val="es-MX"/>
        </w:rPr>
        <w:t xml:space="preserve"> </w:t>
      </w:r>
      <w:proofErr w:type="spellStart"/>
      <w:r w:rsidRPr="004E17A5">
        <w:rPr>
          <w:sz w:val="26"/>
          <w:szCs w:val="26"/>
          <w:lang w:val="es-MX"/>
        </w:rPr>
        <w:t>Law</w:t>
      </w:r>
      <w:proofErr w:type="spellEnd"/>
      <w:r w:rsidRPr="004E17A5">
        <w:rPr>
          <w:sz w:val="26"/>
          <w:szCs w:val="26"/>
          <w:lang w:val="es-MX"/>
        </w:rPr>
        <w:t xml:space="preserve"> Office, </w:t>
      </w:r>
      <w:r w:rsidRPr="004E17A5">
        <w:rPr>
          <w:i/>
          <w:sz w:val="26"/>
          <w:szCs w:val="26"/>
          <w:lang w:val="es-MX"/>
        </w:rPr>
        <w:t xml:space="preserve">Custodia </w:t>
      </w:r>
      <w:proofErr w:type="spellStart"/>
      <w:r w:rsidRPr="004E17A5">
        <w:rPr>
          <w:i/>
          <w:sz w:val="26"/>
          <w:szCs w:val="26"/>
          <w:lang w:val="es-MX"/>
        </w:rPr>
        <w:t>Protectiva</w:t>
      </w:r>
      <w:proofErr w:type="spellEnd"/>
      <w:r w:rsidRPr="004E17A5">
        <w:rPr>
          <w:i/>
          <w:sz w:val="26"/>
          <w:szCs w:val="26"/>
          <w:lang w:val="es-MX"/>
        </w:rPr>
        <w:t xml:space="preserve"> (</w:t>
      </w:r>
      <w:proofErr w:type="spellStart"/>
      <w:r w:rsidRPr="004E17A5">
        <w:rPr>
          <w:i/>
          <w:sz w:val="26"/>
          <w:szCs w:val="26"/>
          <w:lang w:val="es-MX"/>
        </w:rPr>
        <w:t>D.O</w:t>
      </w:r>
      <w:proofErr w:type="spellEnd"/>
      <w:r w:rsidRPr="004E17A5">
        <w:rPr>
          <w:i/>
          <w:sz w:val="26"/>
          <w:szCs w:val="26"/>
          <w:lang w:val="es-MX"/>
        </w:rPr>
        <w:t>. 805) y reclamaciones de Seguridad Razonables</w:t>
      </w:r>
      <w:r w:rsidRPr="004E17A5">
        <w:rPr>
          <w:sz w:val="26"/>
          <w:szCs w:val="26"/>
          <w:lang w:val="es-MX"/>
        </w:rPr>
        <w:t xml:space="preserve">, </w:t>
      </w:r>
      <w:hyperlink r:id="rId4" w:history="1">
        <w:r w:rsidRPr="004E17A5">
          <w:rPr>
            <w:rStyle w:val="Hyperlink"/>
            <w:sz w:val="26"/>
            <w:szCs w:val="26"/>
            <w:lang w:val="es-MX"/>
          </w:rPr>
          <w:t>https://prisonlaw.com/wp-content/uploads/2019/04/AZ-Protective-Custody-with-DO-805.pdf</w:t>
        </w:r>
      </w:hyperlink>
      <w:r w:rsidR="00EE7190">
        <w:rPr>
          <w:sz w:val="26"/>
          <w:szCs w:val="26"/>
          <w:lang w:val="es-MX"/>
        </w:rPr>
        <w:t xml:space="preserve"> </w:t>
      </w:r>
      <w:r w:rsidRPr="004E17A5">
        <w:rPr>
          <w:sz w:val="26"/>
          <w:szCs w:val="26"/>
          <w:lang w:val="es-MX"/>
        </w:rPr>
        <w:t>(Mar. 2019).</w:t>
      </w:r>
    </w:p>
  </w:footnote>
  <w:footnote w:id="52">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D.O. 805, § 1.3.2.</w:t>
      </w:r>
    </w:p>
  </w:footnote>
  <w:footnote w:id="53">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w:t>
      </w:r>
      <w:r w:rsidRPr="006F115C">
        <w:rPr>
          <w:i/>
          <w:sz w:val="26"/>
          <w:szCs w:val="26"/>
          <w:lang w:val="es-MX"/>
        </w:rPr>
        <w:t>Id.</w:t>
      </w:r>
      <w:r w:rsidRPr="006F115C">
        <w:rPr>
          <w:sz w:val="26"/>
          <w:szCs w:val="26"/>
          <w:lang w:val="es-MX"/>
        </w:rPr>
        <w:t>, § 1.3.2.</w:t>
      </w:r>
    </w:p>
  </w:footnote>
  <w:footnote w:id="54">
    <w:p w:rsidR="00903283" w:rsidRPr="00E57979"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E57979">
        <w:rPr>
          <w:sz w:val="26"/>
          <w:szCs w:val="26"/>
          <w:lang w:val="es-MX"/>
        </w:rPr>
        <w:t xml:space="preserve"> </w:t>
      </w:r>
      <w:r w:rsidRPr="00E57979">
        <w:rPr>
          <w:i/>
          <w:sz w:val="26"/>
          <w:szCs w:val="26"/>
          <w:lang w:val="es-MX"/>
        </w:rPr>
        <w:t>Ver</w:t>
      </w:r>
      <w:r w:rsidRPr="00E57979">
        <w:rPr>
          <w:sz w:val="26"/>
          <w:szCs w:val="26"/>
          <w:lang w:val="es-MX"/>
        </w:rPr>
        <w:t xml:space="preserve"> </w:t>
      </w:r>
      <w:proofErr w:type="spellStart"/>
      <w:r w:rsidRPr="00E57979">
        <w:rPr>
          <w:sz w:val="26"/>
          <w:szCs w:val="26"/>
          <w:lang w:val="es-MX"/>
        </w:rPr>
        <w:t>Prison</w:t>
      </w:r>
      <w:proofErr w:type="spellEnd"/>
      <w:r w:rsidRPr="00E57979">
        <w:rPr>
          <w:sz w:val="26"/>
          <w:szCs w:val="26"/>
          <w:lang w:val="es-MX"/>
        </w:rPr>
        <w:t xml:space="preserve"> </w:t>
      </w:r>
      <w:proofErr w:type="spellStart"/>
      <w:r w:rsidRPr="00E57979">
        <w:rPr>
          <w:sz w:val="26"/>
          <w:szCs w:val="26"/>
          <w:lang w:val="es-MX"/>
        </w:rPr>
        <w:t>Law</w:t>
      </w:r>
      <w:proofErr w:type="spellEnd"/>
      <w:r w:rsidRPr="00E57979">
        <w:rPr>
          <w:sz w:val="26"/>
          <w:szCs w:val="26"/>
          <w:lang w:val="es-MX"/>
        </w:rPr>
        <w:t xml:space="preserve"> Office, </w:t>
      </w:r>
      <w:r w:rsidRPr="00E57979">
        <w:rPr>
          <w:i/>
          <w:sz w:val="26"/>
          <w:szCs w:val="26"/>
          <w:lang w:val="es-MX"/>
        </w:rPr>
        <w:t>Sistema de Quejas de internos de Arizona</w:t>
      </w:r>
      <w:r w:rsidRPr="00E57979">
        <w:rPr>
          <w:sz w:val="26"/>
          <w:szCs w:val="26"/>
          <w:lang w:val="es-MX"/>
        </w:rPr>
        <w:t xml:space="preserve">, </w:t>
      </w:r>
      <w:hyperlink r:id="rId5" w:history="1">
        <w:r w:rsidRPr="00E57979">
          <w:rPr>
            <w:rStyle w:val="Hyperlink"/>
            <w:sz w:val="26"/>
            <w:szCs w:val="26"/>
            <w:lang w:val="es-MX"/>
          </w:rPr>
          <w:t>https://prisonlaw.com/wp-content/uploads/2019/04/Exhaustion-Memo-with-Forms-Nov-2016-Revisions.pdf</w:t>
        </w:r>
      </w:hyperlink>
      <w:r w:rsidR="00EE7190">
        <w:rPr>
          <w:sz w:val="26"/>
          <w:szCs w:val="26"/>
          <w:lang w:val="es-MX"/>
        </w:rPr>
        <w:t xml:space="preserve"> </w:t>
      </w:r>
      <w:r w:rsidRPr="00E57979">
        <w:rPr>
          <w:sz w:val="26"/>
          <w:szCs w:val="26"/>
          <w:lang w:val="es-MX"/>
        </w:rPr>
        <w:t>(Nov. 2016).</w:t>
      </w:r>
    </w:p>
  </w:footnote>
  <w:footnote w:id="55">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D.O. 802, § 8.0.</w:t>
      </w:r>
    </w:p>
  </w:footnote>
  <w:footnote w:id="56">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w:t>
      </w:r>
      <w:r w:rsidRPr="006F115C">
        <w:rPr>
          <w:i/>
          <w:sz w:val="26"/>
          <w:szCs w:val="26"/>
          <w:lang w:val="es-MX"/>
        </w:rPr>
        <w:t>Id.</w:t>
      </w:r>
      <w:r w:rsidRPr="006F115C">
        <w:rPr>
          <w:sz w:val="26"/>
          <w:szCs w:val="26"/>
          <w:lang w:val="es-MX"/>
        </w:rPr>
        <w:t>, § 8.1.1.</w:t>
      </w:r>
    </w:p>
  </w:footnote>
  <w:footnote w:id="57">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w:t>
      </w:r>
      <w:r w:rsidRPr="006F115C">
        <w:rPr>
          <w:i/>
          <w:sz w:val="26"/>
          <w:szCs w:val="26"/>
          <w:lang w:val="es-MX"/>
        </w:rPr>
        <w:t>Id.</w:t>
      </w:r>
      <w:r w:rsidRPr="006F115C">
        <w:rPr>
          <w:sz w:val="26"/>
          <w:szCs w:val="26"/>
          <w:lang w:val="es-MX"/>
        </w:rPr>
        <w:t>, § 8.1.2.</w:t>
      </w:r>
    </w:p>
  </w:footnote>
  <w:footnote w:id="58">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6F115C">
        <w:rPr>
          <w:sz w:val="26"/>
          <w:szCs w:val="26"/>
          <w:lang w:val="es-MX"/>
        </w:rPr>
        <w:t xml:space="preserve"> </w:t>
      </w:r>
      <w:r w:rsidRPr="006F115C">
        <w:rPr>
          <w:i/>
          <w:sz w:val="26"/>
          <w:szCs w:val="26"/>
          <w:lang w:val="es-MX"/>
        </w:rPr>
        <w:t>Id.</w:t>
      </w:r>
      <w:r w:rsidRPr="006F115C">
        <w:rPr>
          <w:sz w:val="26"/>
          <w:szCs w:val="26"/>
          <w:lang w:val="es-MX"/>
        </w:rPr>
        <w:t>, § 8.1.3.</w:t>
      </w:r>
    </w:p>
  </w:footnote>
  <w:footnote w:id="59">
    <w:p w:rsidR="00903283" w:rsidRPr="006F115C" w:rsidRDefault="00903283" w:rsidP="001C11C0">
      <w:pPr>
        <w:pStyle w:val="FootnoteText"/>
        <w:tabs>
          <w:tab w:val="left" w:pos="450"/>
        </w:tabs>
        <w:ind w:firstLine="720"/>
        <w:jc w:val="both"/>
        <w:rPr>
          <w:sz w:val="26"/>
          <w:szCs w:val="26"/>
          <w:lang w:val="es-MX"/>
        </w:rPr>
      </w:pPr>
      <w:r w:rsidRPr="007A2ACB">
        <w:rPr>
          <w:rStyle w:val="FootnoteReference"/>
          <w:sz w:val="26"/>
          <w:szCs w:val="26"/>
        </w:rPr>
        <w:footnoteRef/>
      </w:r>
      <w:r w:rsidRPr="00E57979">
        <w:rPr>
          <w:sz w:val="26"/>
          <w:szCs w:val="26"/>
          <w:lang w:val="es-MX"/>
        </w:rPr>
        <w:t xml:space="preserve"> Una queja informal, llamada una Resolución </w:t>
      </w:r>
      <w:r>
        <w:rPr>
          <w:sz w:val="26"/>
          <w:szCs w:val="26"/>
          <w:lang w:val="es-MX"/>
        </w:rPr>
        <w:t>Informal de Quejas de los R</w:t>
      </w:r>
      <w:r w:rsidRPr="00E57979">
        <w:rPr>
          <w:sz w:val="26"/>
          <w:szCs w:val="26"/>
          <w:lang w:val="es-MX"/>
        </w:rPr>
        <w:t>eclusos</w:t>
      </w:r>
      <w:r>
        <w:rPr>
          <w:sz w:val="26"/>
          <w:szCs w:val="26"/>
          <w:lang w:val="es-MX"/>
        </w:rPr>
        <w:t xml:space="preserve">, es el formato </w:t>
      </w:r>
      <w:r w:rsidRPr="00E57979">
        <w:rPr>
          <w:sz w:val="26"/>
          <w:szCs w:val="26"/>
          <w:lang w:val="es-MX"/>
        </w:rPr>
        <w:t xml:space="preserve">802-11. </w:t>
      </w:r>
      <w:r>
        <w:rPr>
          <w:sz w:val="26"/>
          <w:szCs w:val="26"/>
          <w:lang w:val="es-MX"/>
        </w:rPr>
        <w:t>El formato de una queja formal es el formato</w:t>
      </w:r>
      <w:r w:rsidRPr="00E57979">
        <w:rPr>
          <w:sz w:val="26"/>
          <w:szCs w:val="26"/>
          <w:lang w:val="es-MX"/>
        </w:rPr>
        <w:t xml:space="preserve"> 802-1. </w:t>
      </w:r>
      <w:r w:rsidRPr="006F115C">
        <w:rPr>
          <w:i/>
          <w:sz w:val="26"/>
          <w:szCs w:val="26"/>
          <w:lang w:val="es-MX"/>
        </w:rPr>
        <w:t xml:space="preserve">Ver </w:t>
      </w:r>
      <w:r w:rsidRPr="006F115C">
        <w:rPr>
          <w:sz w:val="26"/>
          <w:szCs w:val="26"/>
          <w:lang w:val="es-MX"/>
        </w:rPr>
        <w:t>D.O. 802, §§ 2.1, 3.2.</w:t>
      </w:r>
    </w:p>
  </w:footnote>
  <w:footnote w:id="60">
    <w:p w:rsidR="00903283" w:rsidRPr="00E57979" w:rsidRDefault="00903283" w:rsidP="001C11C0">
      <w:pPr>
        <w:pStyle w:val="FootnoteText"/>
        <w:ind w:firstLine="720"/>
        <w:jc w:val="both"/>
        <w:rPr>
          <w:sz w:val="26"/>
          <w:szCs w:val="26"/>
          <w:lang w:val="es-MX"/>
        </w:rPr>
      </w:pPr>
      <w:r w:rsidRPr="002C4DE0">
        <w:rPr>
          <w:rStyle w:val="FootnoteReference"/>
          <w:sz w:val="26"/>
          <w:szCs w:val="26"/>
        </w:rPr>
        <w:footnoteRef/>
      </w:r>
      <w:r w:rsidRPr="00E57979">
        <w:rPr>
          <w:sz w:val="26"/>
          <w:szCs w:val="26"/>
          <w:lang w:val="es-MX"/>
        </w:rPr>
        <w:t xml:space="preserve"> </w:t>
      </w:r>
      <w:r w:rsidRPr="00E57979">
        <w:rPr>
          <w:i/>
          <w:sz w:val="26"/>
          <w:szCs w:val="26"/>
          <w:lang w:val="es-MX"/>
        </w:rPr>
        <w:t>Ver</w:t>
      </w:r>
      <w:r w:rsidR="00EE7190">
        <w:rPr>
          <w:i/>
          <w:sz w:val="26"/>
          <w:szCs w:val="26"/>
          <w:lang w:val="es-MX"/>
        </w:rPr>
        <w:t xml:space="preserve"> </w:t>
      </w:r>
      <w:proofErr w:type="spellStart"/>
      <w:r w:rsidRPr="00E57979">
        <w:rPr>
          <w:i/>
          <w:sz w:val="26"/>
          <w:szCs w:val="26"/>
          <w:lang w:val="es-MX"/>
        </w:rPr>
        <w:t>e.g</w:t>
      </w:r>
      <w:proofErr w:type="spellEnd"/>
      <w:r w:rsidRPr="00E57979">
        <w:rPr>
          <w:i/>
          <w:sz w:val="26"/>
          <w:szCs w:val="26"/>
          <w:lang w:val="es-MX"/>
        </w:rPr>
        <w:t xml:space="preserve">., </w:t>
      </w:r>
      <w:r w:rsidRPr="00E57979">
        <w:rPr>
          <w:sz w:val="26"/>
          <w:szCs w:val="26"/>
          <w:lang w:val="es-MX"/>
        </w:rPr>
        <w:t>A.R.S. § 31-201.01 (L).</w:t>
      </w:r>
    </w:p>
  </w:footnote>
  <w:footnote w:id="61">
    <w:p w:rsidR="00903283" w:rsidRPr="00E57979" w:rsidRDefault="00903283" w:rsidP="001C11C0">
      <w:pPr>
        <w:pStyle w:val="FootnoteText"/>
        <w:ind w:firstLine="720"/>
        <w:jc w:val="both"/>
        <w:rPr>
          <w:sz w:val="26"/>
          <w:szCs w:val="26"/>
          <w:lang w:val="es-MX"/>
        </w:rPr>
      </w:pPr>
      <w:r w:rsidRPr="002C4DE0">
        <w:rPr>
          <w:rStyle w:val="FootnoteReference"/>
          <w:sz w:val="26"/>
          <w:szCs w:val="26"/>
        </w:rPr>
        <w:footnoteRef/>
      </w:r>
      <w:r w:rsidRPr="00E57979">
        <w:rPr>
          <w:sz w:val="26"/>
          <w:szCs w:val="26"/>
          <w:lang w:val="es-MX"/>
        </w:rPr>
        <w:t xml:space="preserve"> </w:t>
      </w:r>
      <w:r w:rsidRPr="00E57979">
        <w:rPr>
          <w:i/>
          <w:sz w:val="26"/>
          <w:szCs w:val="26"/>
          <w:lang w:val="es-MX"/>
        </w:rPr>
        <w:t xml:space="preserve">Ver </w:t>
      </w:r>
      <w:proofErr w:type="spellStart"/>
      <w:r w:rsidRPr="00E57979">
        <w:rPr>
          <w:sz w:val="26"/>
          <w:szCs w:val="26"/>
          <w:lang w:val="es-MX"/>
        </w:rPr>
        <w:t>Ariz</w:t>
      </w:r>
      <w:proofErr w:type="spellEnd"/>
      <w:r w:rsidRPr="00E57979">
        <w:rPr>
          <w:sz w:val="26"/>
          <w:szCs w:val="26"/>
          <w:lang w:val="es-MX"/>
        </w:rPr>
        <w:t xml:space="preserve">. </w:t>
      </w:r>
      <w:proofErr w:type="spellStart"/>
      <w:r w:rsidRPr="00E57979">
        <w:rPr>
          <w:sz w:val="26"/>
          <w:szCs w:val="26"/>
          <w:lang w:val="es-MX"/>
        </w:rPr>
        <w:t>Att’y</w:t>
      </w:r>
      <w:proofErr w:type="spellEnd"/>
      <w:r w:rsidRPr="00E57979">
        <w:rPr>
          <w:sz w:val="26"/>
          <w:szCs w:val="26"/>
          <w:lang w:val="es-MX"/>
        </w:rPr>
        <w:t xml:space="preserve"> </w:t>
      </w:r>
      <w:r>
        <w:rPr>
          <w:sz w:val="26"/>
          <w:szCs w:val="26"/>
          <w:lang w:val="es-MX"/>
        </w:rPr>
        <w:t>Oficina Gral.</w:t>
      </w:r>
      <w:r w:rsidRPr="00E57979">
        <w:rPr>
          <w:sz w:val="26"/>
          <w:szCs w:val="26"/>
          <w:lang w:val="es-MX"/>
        </w:rPr>
        <w:t xml:space="preserve">, </w:t>
      </w:r>
      <w:r w:rsidRPr="00E57979">
        <w:rPr>
          <w:i/>
          <w:sz w:val="26"/>
          <w:szCs w:val="26"/>
          <w:lang w:val="es-MX"/>
        </w:rPr>
        <w:t>Folleto de la Agencia de Arizona</w:t>
      </w:r>
      <w:r w:rsidRPr="00E57979">
        <w:rPr>
          <w:sz w:val="26"/>
          <w:szCs w:val="26"/>
          <w:lang w:val="es-MX"/>
        </w:rPr>
        <w:t xml:space="preserve"> §13.3.3,</w:t>
      </w:r>
      <w:r w:rsidRPr="00E57979">
        <w:rPr>
          <w:i/>
          <w:sz w:val="26"/>
          <w:szCs w:val="26"/>
          <w:lang w:val="es-MX"/>
        </w:rPr>
        <w:t>diponible en</w:t>
      </w:r>
      <w:r w:rsidR="00EE7190">
        <w:rPr>
          <w:i/>
          <w:sz w:val="26"/>
          <w:szCs w:val="26"/>
          <w:lang w:val="es-MX"/>
        </w:rPr>
        <w:t xml:space="preserve"> </w:t>
      </w:r>
      <w:hyperlink r:id="rId6" w:history="1">
        <w:r w:rsidRPr="00E57979">
          <w:rPr>
            <w:rStyle w:val="Hyperlink"/>
            <w:sz w:val="26"/>
            <w:szCs w:val="26"/>
            <w:lang w:val="es-MX"/>
          </w:rPr>
          <w:t>https://www.azag.gov/outreach/publications/agency-handbook</w:t>
        </w:r>
      </w:hyperlink>
      <w:r w:rsidRPr="00E57979">
        <w:rPr>
          <w:sz w:val="26"/>
          <w:szCs w:val="26"/>
          <w:lang w:val="es-MX"/>
        </w:rPr>
        <w:t xml:space="preserve"> (</w:t>
      </w:r>
      <w:r>
        <w:rPr>
          <w:sz w:val="26"/>
          <w:szCs w:val="26"/>
          <w:lang w:val="es-MX"/>
        </w:rPr>
        <w:t>en adelante</w:t>
      </w:r>
      <w:r w:rsidR="00EE7190">
        <w:rPr>
          <w:sz w:val="26"/>
          <w:szCs w:val="26"/>
          <w:lang w:val="es-MX"/>
        </w:rPr>
        <w:t xml:space="preserve"> </w:t>
      </w:r>
      <w:r>
        <w:rPr>
          <w:sz w:val="26"/>
          <w:szCs w:val="26"/>
          <w:lang w:val="es-MX"/>
        </w:rPr>
        <w:t>“Folleto de Agencia</w:t>
      </w:r>
      <w:r w:rsidRPr="00E57979">
        <w:rPr>
          <w:sz w:val="26"/>
          <w:szCs w:val="26"/>
          <w:lang w:val="es-MX"/>
        </w:rPr>
        <w:t>”).</w:t>
      </w:r>
    </w:p>
  </w:footnote>
  <w:footnote w:id="62">
    <w:p w:rsidR="00903283" w:rsidRPr="00A166DA" w:rsidRDefault="00903283" w:rsidP="001C11C0">
      <w:pPr>
        <w:pStyle w:val="FootnoteText"/>
        <w:ind w:firstLine="720"/>
        <w:jc w:val="both"/>
        <w:rPr>
          <w:sz w:val="26"/>
          <w:szCs w:val="26"/>
          <w:lang w:val="es-MX"/>
        </w:rPr>
      </w:pPr>
      <w:r w:rsidRPr="002C4DE0">
        <w:rPr>
          <w:rStyle w:val="FootnoteReference"/>
          <w:sz w:val="26"/>
          <w:szCs w:val="26"/>
        </w:rPr>
        <w:footnoteRef/>
      </w:r>
      <w:r w:rsidRPr="00A166DA">
        <w:rPr>
          <w:sz w:val="26"/>
          <w:szCs w:val="26"/>
          <w:lang w:val="es-MX"/>
        </w:rPr>
        <w:t xml:space="preserve"> Folleto de Agencia</w:t>
      </w:r>
      <w:r w:rsidR="00EE7190">
        <w:rPr>
          <w:sz w:val="26"/>
          <w:szCs w:val="26"/>
          <w:lang w:val="es-MX"/>
        </w:rPr>
        <w:t xml:space="preserve"> </w:t>
      </w:r>
      <w:r w:rsidRPr="00A166DA">
        <w:rPr>
          <w:sz w:val="26"/>
          <w:szCs w:val="26"/>
          <w:lang w:val="es-MX"/>
        </w:rPr>
        <w:t xml:space="preserve">§13.3.3.2.1; </w:t>
      </w:r>
      <w:proofErr w:type="spellStart"/>
      <w:r w:rsidRPr="00A166DA">
        <w:rPr>
          <w:sz w:val="26"/>
          <w:szCs w:val="26"/>
          <w:lang w:val="es-MX"/>
        </w:rPr>
        <w:t>A.R.S</w:t>
      </w:r>
      <w:proofErr w:type="spellEnd"/>
      <w:r w:rsidRPr="00A166DA">
        <w:rPr>
          <w:sz w:val="26"/>
          <w:szCs w:val="26"/>
          <w:lang w:val="es-MX"/>
        </w:rPr>
        <w:t>. § 12-820.02(A).</w:t>
      </w:r>
    </w:p>
  </w:footnote>
  <w:footnote w:id="63">
    <w:p w:rsidR="00903283" w:rsidRPr="002C4DE0" w:rsidRDefault="00903283" w:rsidP="001C11C0">
      <w:pPr>
        <w:pStyle w:val="FootnoteText"/>
        <w:ind w:firstLine="720"/>
        <w:jc w:val="both"/>
        <w:rPr>
          <w:sz w:val="26"/>
          <w:szCs w:val="26"/>
        </w:rPr>
      </w:pPr>
      <w:r w:rsidRPr="002C4DE0">
        <w:rPr>
          <w:rStyle w:val="FootnoteReference"/>
          <w:sz w:val="26"/>
          <w:szCs w:val="26"/>
        </w:rPr>
        <w:footnoteRef/>
      </w:r>
      <w:r w:rsidRPr="002C4DE0">
        <w:rPr>
          <w:sz w:val="26"/>
          <w:szCs w:val="26"/>
        </w:rPr>
        <w:t xml:space="preserve"> Agency Handbook</w:t>
      </w:r>
      <w:r w:rsidRPr="002C4DE0">
        <w:rPr>
          <w:i/>
          <w:sz w:val="26"/>
          <w:szCs w:val="26"/>
        </w:rPr>
        <w:t xml:space="preserve"> </w:t>
      </w:r>
      <w:r w:rsidRPr="002C4DE0">
        <w:rPr>
          <w:sz w:val="26"/>
          <w:szCs w:val="26"/>
        </w:rPr>
        <w:t xml:space="preserve">§13.3.3.2.1; </w:t>
      </w:r>
      <w:r w:rsidRPr="002C4DE0">
        <w:rPr>
          <w:i/>
          <w:iCs/>
          <w:sz w:val="26"/>
          <w:szCs w:val="26"/>
        </w:rPr>
        <w:t xml:space="preserve">Zeigler v. </w:t>
      </w:r>
      <w:proofErr w:type="spellStart"/>
      <w:r w:rsidRPr="002C4DE0">
        <w:rPr>
          <w:i/>
          <w:iCs/>
          <w:sz w:val="26"/>
          <w:szCs w:val="26"/>
        </w:rPr>
        <w:t>Kirschner</w:t>
      </w:r>
      <w:proofErr w:type="spellEnd"/>
      <w:r w:rsidRPr="002C4DE0">
        <w:rPr>
          <w:sz w:val="26"/>
          <w:szCs w:val="26"/>
        </w:rPr>
        <w:t>, 781 P.2d 54, 61 (</w:t>
      </w:r>
      <w:r>
        <w:rPr>
          <w:sz w:val="26"/>
          <w:szCs w:val="26"/>
        </w:rPr>
        <w:t xml:space="preserve">Ariz. Ct. </w:t>
      </w:r>
      <w:r w:rsidRPr="002C4DE0">
        <w:rPr>
          <w:sz w:val="26"/>
          <w:szCs w:val="26"/>
        </w:rPr>
        <w:t>App. 1989).</w:t>
      </w:r>
    </w:p>
  </w:footnote>
  <w:footnote w:id="64">
    <w:p w:rsidR="00903283" w:rsidRPr="002C4DE0" w:rsidRDefault="00903283" w:rsidP="001C11C0">
      <w:pPr>
        <w:shd w:val="clear" w:color="auto" w:fill="FFFFFF"/>
        <w:tabs>
          <w:tab w:val="left" w:pos="450"/>
        </w:tabs>
        <w:ind w:firstLine="720"/>
        <w:jc w:val="both"/>
        <w:rPr>
          <w:color w:val="000000"/>
          <w:sz w:val="26"/>
          <w:szCs w:val="26"/>
        </w:rPr>
      </w:pPr>
      <w:r w:rsidRPr="002C4DE0">
        <w:rPr>
          <w:rStyle w:val="FootnoteReference"/>
          <w:sz w:val="26"/>
          <w:szCs w:val="26"/>
        </w:rPr>
        <w:footnoteRef/>
      </w:r>
      <w:r w:rsidRPr="002C4DE0">
        <w:rPr>
          <w:sz w:val="26"/>
          <w:szCs w:val="26"/>
        </w:rPr>
        <w:t xml:space="preserve"> </w:t>
      </w:r>
      <w:r w:rsidRPr="002C4DE0">
        <w:rPr>
          <w:i/>
          <w:color w:val="000000"/>
          <w:sz w:val="26"/>
          <w:szCs w:val="26"/>
        </w:rPr>
        <w:t>Powell v. State</w:t>
      </w:r>
      <w:r w:rsidRPr="002C4DE0">
        <w:rPr>
          <w:color w:val="000000"/>
          <w:sz w:val="26"/>
          <w:szCs w:val="26"/>
        </w:rPr>
        <w:t xml:space="preserve">, 507 P.2d 989, 990 (Ariz. </w:t>
      </w:r>
      <w:r>
        <w:rPr>
          <w:color w:val="000000"/>
          <w:sz w:val="26"/>
          <w:szCs w:val="26"/>
        </w:rPr>
        <w:t xml:space="preserve">Ct. </w:t>
      </w:r>
      <w:r w:rsidRPr="002C4DE0">
        <w:rPr>
          <w:color w:val="000000"/>
          <w:sz w:val="26"/>
          <w:szCs w:val="26"/>
        </w:rPr>
        <w:t>App. 1973).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83" w:rsidRPr="00363353" w:rsidRDefault="00903283" w:rsidP="00E14525">
    <w:pPr>
      <w:pStyle w:val="Header"/>
      <w:jc w:val="right"/>
      <w:rPr>
        <w:lang w:val="es-MX"/>
      </w:rPr>
    </w:pPr>
    <w:r>
      <w:rPr>
        <w:lang w:val="es-MX"/>
      </w:rPr>
      <w:t>Abuso Sexual</w:t>
    </w:r>
    <w:r w:rsidRPr="00363353">
      <w:rPr>
        <w:lang w:val="es-MX"/>
      </w:rPr>
      <w:t xml:space="preserve"> (Arizona)</w:t>
    </w:r>
  </w:p>
  <w:p w:rsidR="00903283" w:rsidRPr="00363353" w:rsidRDefault="00903283" w:rsidP="00E14525">
    <w:pPr>
      <w:pStyle w:val="Header"/>
      <w:jc w:val="right"/>
      <w:rPr>
        <w:lang w:val="es-MX"/>
      </w:rPr>
    </w:pPr>
    <w:r w:rsidRPr="00363353">
      <w:rPr>
        <w:lang w:val="es-MX"/>
      </w:rPr>
      <w:t>Jun</w:t>
    </w:r>
    <w:r>
      <w:rPr>
        <w:lang w:val="es-MX"/>
      </w:rPr>
      <w:t>io</w:t>
    </w:r>
    <w:r w:rsidRPr="00363353">
      <w:rPr>
        <w:lang w:val="es-MX"/>
      </w:rPr>
      <w:t xml:space="preserve"> 2019</w:t>
    </w:r>
  </w:p>
  <w:p w:rsidR="00903283" w:rsidRPr="00363353" w:rsidRDefault="00903283" w:rsidP="00E14525">
    <w:pPr>
      <w:pStyle w:val="Header"/>
      <w:jc w:val="right"/>
      <w:rPr>
        <w:noProof/>
        <w:lang w:val="es-MX"/>
      </w:rPr>
    </w:pPr>
    <w:r>
      <w:rPr>
        <w:lang w:val="es-MX"/>
      </w:rPr>
      <w:t>Página</w:t>
    </w:r>
    <w:r w:rsidRPr="00363353">
      <w:rPr>
        <w:lang w:val="es-MX"/>
      </w:rPr>
      <w:t xml:space="preserve"> </w:t>
    </w:r>
    <w:r>
      <w:fldChar w:fldCharType="begin"/>
    </w:r>
    <w:r w:rsidRPr="00363353">
      <w:rPr>
        <w:lang w:val="es-MX"/>
      </w:rPr>
      <w:instrText xml:space="preserve"> PAGE   \* MERGEFORMAT </w:instrText>
    </w:r>
    <w:r>
      <w:fldChar w:fldCharType="separate"/>
    </w:r>
    <w:r w:rsidR="00EE7190">
      <w:rPr>
        <w:noProof/>
        <w:lang w:val="es-MX"/>
      </w:rPr>
      <w:t>13</w:t>
    </w:r>
    <w:r>
      <w:rPr>
        <w:noProof/>
      </w:rPr>
      <w:fldChar w:fldCharType="end"/>
    </w:r>
  </w:p>
  <w:p w:rsidR="00903283" w:rsidRPr="00363353" w:rsidRDefault="00903283" w:rsidP="00E14525">
    <w:pPr>
      <w:pStyle w:val="Header"/>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83" w:rsidRPr="007A2ACB" w:rsidRDefault="00903283" w:rsidP="00E14525">
    <w:pPr>
      <w:autoSpaceDE w:val="0"/>
      <w:autoSpaceDN w:val="0"/>
      <w:adjustRightInd w:val="0"/>
      <w:ind w:left="720"/>
      <w:jc w:val="right"/>
      <w:rPr>
        <w:b/>
        <w:bCs/>
        <w:sz w:val="26"/>
        <w:szCs w:val="26"/>
      </w:rPr>
    </w:pPr>
    <w:r w:rsidRPr="007A2ACB">
      <w:rPr>
        <w:b/>
        <w:bCs/>
        <w:sz w:val="26"/>
        <w:szCs w:val="26"/>
      </w:rPr>
      <w:t>INFORMATION ABOUT SEXUAL ASSAULT AND HARASSMENT FOR PEOPLE INCARCERATED IN ARIZONA PRISONS</w:t>
    </w:r>
  </w:p>
  <w:p w:rsidR="00903283" w:rsidRDefault="00903283" w:rsidP="00E14525">
    <w:pPr>
      <w:pStyle w:val="Header"/>
      <w:jc w:val="right"/>
    </w:pPr>
    <w:r>
      <w:t>Sexual Assault and Harassment (AZ)</w:t>
    </w:r>
  </w:p>
  <w:p w:rsidR="00903283" w:rsidRDefault="00903283" w:rsidP="00E14525">
    <w:pPr>
      <w:pStyle w:val="Header"/>
      <w:jc w:val="right"/>
    </w:pPr>
    <w:r>
      <w:t>June 2019</w:t>
    </w:r>
  </w:p>
  <w:p w:rsidR="00903283" w:rsidRPr="006B4D47" w:rsidRDefault="00903283" w:rsidP="00E14525">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0B728"/>
    <w:multiLevelType w:val="hybridMultilevel"/>
    <w:tmpl w:val="D738D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05F366"/>
    <w:multiLevelType w:val="hybridMultilevel"/>
    <w:tmpl w:val="5E4CC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67A32"/>
    <w:multiLevelType w:val="hybridMultilevel"/>
    <w:tmpl w:val="92F47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0F1102"/>
    <w:multiLevelType w:val="hybridMultilevel"/>
    <w:tmpl w:val="4ED8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64F26"/>
    <w:multiLevelType w:val="hybridMultilevel"/>
    <w:tmpl w:val="A0E4E304"/>
    <w:lvl w:ilvl="0" w:tplc="9612D618">
      <w:start w:val="1"/>
      <w:numFmt w:val="decimal"/>
      <w:pStyle w:val="BFootnote"/>
      <w:lvlText w:val="%1."/>
      <w:lvlJc w:val="left"/>
      <w:pPr>
        <w:ind w:left="720" w:hanging="360"/>
      </w:pPr>
      <w:rPr>
        <w:rFonts w:ascii="Times New Roman" w:hAnsi="Times New Roman" w:hint="default"/>
        <w:b w:val="0"/>
        <w:i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12AFE"/>
    <w:multiLevelType w:val="hybridMultilevel"/>
    <w:tmpl w:val="05E6AE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84195"/>
    <w:multiLevelType w:val="hybridMultilevel"/>
    <w:tmpl w:val="5C6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31D82"/>
    <w:multiLevelType w:val="hybridMultilevel"/>
    <w:tmpl w:val="D75A1D4C"/>
    <w:lvl w:ilvl="0" w:tplc="445CDA12">
      <w:start w:val="1"/>
      <w:numFmt w:val="upperRoman"/>
      <w:pStyle w:val="BII"/>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1E596D"/>
    <w:multiLevelType w:val="hybridMultilevel"/>
    <w:tmpl w:val="F946A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511F82"/>
    <w:multiLevelType w:val="hybridMultilevel"/>
    <w:tmpl w:val="B964CEA0"/>
    <w:lvl w:ilvl="0" w:tplc="55AADFC6">
      <w:start w:val="1"/>
      <w:numFmt w:val="upperRoman"/>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3D26EC"/>
    <w:multiLevelType w:val="hybridMultilevel"/>
    <w:tmpl w:val="DAE07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AB7C8B"/>
    <w:multiLevelType w:val="hybridMultilevel"/>
    <w:tmpl w:val="6D7487A2"/>
    <w:lvl w:ilvl="0" w:tplc="C9EAA45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5675066C"/>
    <w:multiLevelType w:val="hybridMultilevel"/>
    <w:tmpl w:val="F5B839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86242"/>
    <w:multiLevelType w:val="hybridMultilevel"/>
    <w:tmpl w:val="AEA6CD5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CE24001"/>
    <w:multiLevelType w:val="hybridMultilevel"/>
    <w:tmpl w:val="0AA00E1A"/>
    <w:lvl w:ilvl="0" w:tplc="1F626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326E2"/>
    <w:multiLevelType w:val="hybridMultilevel"/>
    <w:tmpl w:val="78CDB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
  </w:num>
  <w:num w:numId="3">
    <w:abstractNumId w:val="0"/>
  </w:num>
  <w:num w:numId="4">
    <w:abstractNumId w:val="1"/>
  </w:num>
  <w:num w:numId="5">
    <w:abstractNumId w:val="8"/>
  </w:num>
  <w:num w:numId="6">
    <w:abstractNumId w:val="10"/>
  </w:num>
  <w:num w:numId="7">
    <w:abstractNumId w:val="12"/>
  </w:num>
  <w:num w:numId="8">
    <w:abstractNumId w:val="14"/>
  </w:num>
  <w:num w:numId="9">
    <w:abstractNumId w:val="4"/>
  </w:num>
  <w:num w:numId="10">
    <w:abstractNumId w:val="9"/>
  </w:num>
  <w:num w:numId="11">
    <w:abstractNumId w:val="11"/>
  </w:num>
  <w:num w:numId="12">
    <w:abstractNumId w:val="6"/>
  </w:num>
  <w:num w:numId="13">
    <w:abstractNumId w:val="5"/>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C"/>
    <w:rsid w:val="000142DA"/>
    <w:rsid w:val="0001566F"/>
    <w:rsid w:val="00017DB2"/>
    <w:rsid w:val="00021396"/>
    <w:rsid w:val="00037FCF"/>
    <w:rsid w:val="0004517B"/>
    <w:rsid w:val="00051E8F"/>
    <w:rsid w:val="0005603B"/>
    <w:rsid w:val="00057746"/>
    <w:rsid w:val="00060D50"/>
    <w:rsid w:val="00064E5D"/>
    <w:rsid w:val="00065984"/>
    <w:rsid w:val="00076AF6"/>
    <w:rsid w:val="00090C3B"/>
    <w:rsid w:val="0009189A"/>
    <w:rsid w:val="00094D2C"/>
    <w:rsid w:val="000968EC"/>
    <w:rsid w:val="000A4E77"/>
    <w:rsid w:val="000A75AB"/>
    <w:rsid w:val="000B4BCE"/>
    <w:rsid w:val="000B50F0"/>
    <w:rsid w:val="000B72C4"/>
    <w:rsid w:val="000C4A00"/>
    <w:rsid w:val="000D1414"/>
    <w:rsid w:val="000E1E10"/>
    <w:rsid w:val="000E5D28"/>
    <w:rsid w:val="000F5830"/>
    <w:rsid w:val="00100EB5"/>
    <w:rsid w:val="00101EDF"/>
    <w:rsid w:val="00102391"/>
    <w:rsid w:val="00107EF0"/>
    <w:rsid w:val="00113335"/>
    <w:rsid w:val="00116561"/>
    <w:rsid w:val="0012275D"/>
    <w:rsid w:val="001335B2"/>
    <w:rsid w:val="0013429F"/>
    <w:rsid w:val="00140A8B"/>
    <w:rsid w:val="0014531C"/>
    <w:rsid w:val="00150675"/>
    <w:rsid w:val="00152975"/>
    <w:rsid w:val="00163B84"/>
    <w:rsid w:val="001717F7"/>
    <w:rsid w:val="00171D8B"/>
    <w:rsid w:val="001949D4"/>
    <w:rsid w:val="00194D39"/>
    <w:rsid w:val="00194F65"/>
    <w:rsid w:val="0019567A"/>
    <w:rsid w:val="001A1F27"/>
    <w:rsid w:val="001B636A"/>
    <w:rsid w:val="001B7551"/>
    <w:rsid w:val="001C11C0"/>
    <w:rsid w:val="001C6264"/>
    <w:rsid w:val="001C6467"/>
    <w:rsid w:val="001D3045"/>
    <w:rsid w:val="001D3A62"/>
    <w:rsid w:val="001E3FFD"/>
    <w:rsid w:val="001F61A2"/>
    <w:rsid w:val="00203D3B"/>
    <w:rsid w:val="00205A74"/>
    <w:rsid w:val="002064C3"/>
    <w:rsid w:val="002139C2"/>
    <w:rsid w:val="00214897"/>
    <w:rsid w:val="00216D88"/>
    <w:rsid w:val="00220A48"/>
    <w:rsid w:val="00221B62"/>
    <w:rsid w:val="00221DBA"/>
    <w:rsid w:val="00224FFB"/>
    <w:rsid w:val="002321B7"/>
    <w:rsid w:val="00236C8B"/>
    <w:rsid w:val="0024377C"/>
    <w:rsid w:val="00247C7B"/>
    <w:rsid w:val="00257C1A"/>
    <w:rsid w:val="002651E2"/>
    <w:rsid w:val="0027098C"/>
    <w:rsid w:val="00274EC3"/>
    <w:rsid w:val="0027571B"/>
    <w:rsid w:val="002772BD"/>
    <w:rsid w:val="00280413"/>
    <w:rsid w:val="00284C9A"/>
    <w:rsid w:val="0029421C"/>
    <w:rsid w:val="00295782"/>
    <w:rsid w:val="002A203B"/>
    <w:rsid w:val="002A2CEA"/>
    <w:rsid w:val="002A641C"/>
    <w:rsid w:val="002B6742"/>
    <w:rsid w:val="002C078A"/>
    <w:rsid w:val="002C428A"/>
    <w:rsid w:val="002C4DE0"/>
    <w:rsid w:val="002C6F63"/>
    <w:rsid w:val="002D079F"/>
    <w:rsid w:val="002D0BB0"/>
    <w:rsid w:val="002E211E"/>
    <w:rsid w:val="002E2BE8"/>
    <w:rsid w:val="002E2E4F"/>
    <w:rsid w:val="002E4C71"/>
    <w:rsid w:val="002E5F78"/>
    <w:rsid w:val="002E66EA"/>
    <w:rsid w:val="002F4D11"/>
    <w:rsid w:val="003017F5"/>
    <w:rsid w:val="00301C41"/>
    <w:rsid w:val="00305D3D"/>
    <w:rsid w:val="0031276A"/>
    <w:rsid w:val="00316438"/>
    <w:rsid w:val="0032213C"/>
    <w:rsid w:val="003253B5"/>
    <w:rsid w:val="00326012"/>
    <w:rsid w:val="0034201E"/>
    <w:rsid w:val="00342AB0"/>
    <w:rsid w:val="00345A37"/>
    <w:rsid w:val="00346187"/>
    <w:rsid w:val="00347DAB"/>
    <w:rsid w:val="00352FAE"/>
    <w:rsid w:val="00354DD9"/>
    <w:rsid w:val="00360BEE"/>
    <w:rsid w:val="00363353"/>
    <w:rsid w:val="0036504C"/>
    <w:rsid w:val="0036546A"/>
    <w:rsid w:val="00365828"/>
    <w:rsid w:val="00375B29"/>
    <w:rsid w:val="00384407"/>
    <w:rsid w:val="00392FB2"/>
    <w:rsid w:val="0039381C"/>
    <w:rsid w:val="00396F22"/>
    <w:rsid w:val="003B1726"/>
    <w:rsid w:val="003B42E2"/>
    <w:rsid w:val="003B4C97"/>
    <w:rsid w:val="003C1749"/>
    <w:rsid w:val="003C1ECC"/>
    <w:rsid w:val="003C4AB5"/>
    <w:rsid w:val="003E29B9"/>
    <w:rsid w:val="00422519"/>
    <w:rsid w:val="00424E9E"/>
    <w:rsid w:val="004354CA"/>
    <w:rsid w:val="00435E7B"/>
    <w:rsid w:val="00440880"/>
    <w:rsid w:val="00441BA4"/>
    <w:rsid w:val="00441D30"/>
    <w:rsid w:val="0044259C"/>
    <w:rsid w:val="0046742E"/>
    <w:rsid w:val="00472095"/>
    <w:rsid w:val="00476CC6"/>
    <w:rsid w:val="00483D82"/>
    <w:rsid w:val="00492762"/>
    <w:rsid w:val="0049767B"/>
    <w:rsid w:val="004A322C"/>
    <w:rsid w:val="004A4506"/>
    <w:rsid w:val="004C76A7"/>
    <w:rsid w:val="004D138D"/>
    <w:rsid w:val="004D6AD9"/>
    <w:rsid w:val="004E17A5"/>
    <w:rsid w:val="004F01C2"/>
    <w:rsid w:val="00514BDE"/>
    <w:rsid w:val="0052271E"/>
    <w:rsid w:val="00522955"/>
    <w:rsid w:val="00524E44"/>
    <w:rsid w:val="005328FB"/>
    <w:rsid w:val="005339FC"/>
    <w:rsid w:val="00545C4F"/>
    <w:rsid w:val="00554D60"/>
    <w:rsid w:val="00554F5F"/>
    <w:rsid w:val="00567AA2"/>
    <w:rsid w:val="00576D9B"/>
    <w:rsid w:val="00580A93"/>
    <w:rsid w:val="005828C9"/>
    <w:rsid w:val="00587968"/>
    <w:rsid w:val="005A06D0"/>
    <w:rsid w:val="005B1973"/>
    <w:rsid w:val="005B460C"/>
    <w:rsid w:val="005C31A2"/>
    <w:rsid w:val="005C62FA"/>
    <w:rsid w:val="005D2EBE"/>
    <w:rsid w:val="005D3716"/>
    <w:rsid w:val="005D4744"/>
    <w:rsid w:val="005D4A28"/>
    <w:rsid w:val="005D6E0B"/>
    <w:rsid w:val="005E01DD"/>
    <w:rsid w:val="005E5C55"/>
    <w:rsid w:val="005F4C83"/>
    <w:rsid w:val="00600AB5"/>
    <w:rsid w:val="006029E9"/>
    <w:rsid w:val="00610394"/>
    <w:rsid w:val="00612E38"/>
    <w:rsid w:val="00614367"/>
    <w:rsid w:val="006169E0"/>
    <w:rsid w:val="006204F0"/>
    <w:rsid w:val="00625904"/>
    <w:rsid w:val="00632FA3"/>
    <w:rsid w:val="00633D13"/>
    <w:rsid w:val="0063668B"/>
    <w:rsid w:val="006415A2"/>
    <w:rsid w:val="00645388"/>
    <w:rsid w:val="00650FDF"/>
    <w:rsid w:val="006530AA"/>
    <w:rsid w:val="00656EB9"/>
    <w:rsid w:val="0066041B"/>
    <w:rsid w:val="00665ADE"/>
    <w:rsid w:val="00666E94"/>
    <w:rsid w:val="00667EF9"/>
    <w:rsid w:val="00674B7E"/>
    <w:rsid w:val="00681B83"/>
    <w:rsid w:val="00686D8D"/>
    <w:rsid w:val="00693CD2"/>
    <w:rsid w:val="006A6C6D"/>
    <w:rsid w:val="006A796A"/>
    <w:rsid w:val="006B10C5"/>
    <w:rsid w:val="006B24E8"/>
    <w:rsid w:val="006B4D47"/>
    <w:rsid w:val="006C57E8"/>
    <w:rsid w:val="006D07DF"/>
    <w:rsid w:val="006D3FE8"/>
    <w:rsid w:val="006D67EB"/>
    <w:rsid w:val="006E627E"/>
    <w:rsid w:val="006F115C"/>
    <w:rsid w:val="006F3F01"/>
    <w:rsid w:val="006F5A40"/>
    <w:rsid w:val="00714A07"/>
    <w:rsid w:val="00716D19"/>
    <w:rsid w:val="00717858"/>
    <w:rsid w:val="00722473"/>
    <w:rsid w:val="007265AB"/>
    <w:rsid w:val="0073136C"/>
    <w:rsid w:val="0074171A"/>
    <w:rsid w:val="007457C5"/>
    <w:rsid w:val="0075668C"/>
    <w:rsid w:val="00761C00"/>
    <w:rsid w:val="00763833"/>
    <w:rsid w:val="00773745"/>
    <w:rsid w:val="00774BEE"/>
    <w:rsid w:val="00783A7D"/>
    <w:rsid w:val="007A09E0"/>
    <w:rsid w:val="007A0FD1"/>
    <w:rsid w:val="007A2ACB"/>
    <w:rsid w:val="007C7973"/>
    <w:rsid w:val="007D09D8"/>
    <w:rsid w:val="007D0B09"/>
    <w:rsid w:val="007D3A08"/>
    <w:rsid w:val="007E5B99"/>
    <w:rsid w:val="007F57BC"/>
    <w:rsid w:val="008062A2"/>
    <w:rsid w:val="0081779E"/>
    <w:rsid w:val="008259F5"/>
    <w:rsid w:val="008303D3"/>
    <w:rsid w:val="00835708"/>
    <w:rsid w:val="008379FD"/>
    <w:rsid w:val="00851C3E"/>
    <w:rsid w:val="0086312B"/>
    <w:rsid w:val="00865EF1"/>
    <w:rsid w:val="00875712"/>
    <w:rsid w:val="00881D33"/>
    <w:rsid w:val="0088605F"/>
    <w:rsid w:val="008874C0"/>
    <w:rsid w:val="008914CC"/>
    <w:rsid w:val="00893F56"/>
    <w:rsid w:val="00895E27"/>
    <w:rsid w:val="00895E5B"/>
    <w:rsid w:val="00896A9D"/>
    <w:rsid w:val="008A2E4E"/>
    <w:rsid w:val="008C0574"/>
    <w:rsid w:val="008C3610"/>
    <w:rsid w:val="008C554C"/>
    <w:rsid w:val="008C611B"/>
    <w:rsid w:val="008D312C"/>
    <w:rsid w:val="008D7655"/>
    <w:rsid w:val="008E5C39"/>
    <w:rsid w:val="008F2E7E"/>
    <w:rsid w:val="008F33A3"/>
    <w:rsid w:val="008F3BD7"/>
    <w:rsid w:val="008F3E0E"/>
    <w:rsid w:val="009005AD"/>
    <w:rsid w:val="00903283"/>
    <w:rsid w:val="00905CC0"/>
    <w:rsid w:val="00906894"/>
    <w:rsid w:val="0091741E"/>
    <w:rsid w:val="00926230"/>
    <w:rsid w:val="00936920"/>
    <w:rsid w:val="00936BB5"/>
    <w:rsid w:val="00957724"/>
    <w:rsid w:val="00960AEF"/>
    <w:rsid w:val="00964A2F"/>
    <w:rsid w:val="00970964"/>
    <w:rsid w:val="00970A5A"/>
    <w:rsid w:val="009712F3"/>
    <w:rsid w:val="009767EE"/>
    <w:rsid w:val="00992650"/>
    <w:rsid w:val="009A11E4"/>
    <w:rsid w:val="009A353D"/>
    <w:rsid w:val="009A44D0"/>
    <w:rsid w:val="009B3570"/>
    <w:rsid w:val="009C2542"/>
    <w:rsid w:val="009D3209"/>
    <w:rsid w:val="009E233F"/>
    <w:rsid w:val="009F1594"/>
    <w:rsid w:val="009F4378"/>
    <w:rsid w:val="009F563A"/>
    <w:rsid w:val="009F68DA"/>
    <w:rsid w:val="00A03373"/>
    <w:rsid w:val="00A0364E"/>
    <w:rsid w:val="00A06E85"/>
    <w:rsid w:val="00A166DA"/>
    <w:rsid w:val="00A1776D"/>
    <w:rsid w:val="00A22E12"/>
    <w:rsid w:val="00A3167F"/>
    <w:rsid w:val="00A35C03"/>
    <w:rsid w:val="00A45CC3"/>
    <w:rsid w:val="00A537D3"/>
    <w:rsid w:val="00A553B8"/>
    <w:rsid w:val="00A558CC"/>
    <w:rsid w:val="00A70D54"/>
    <w:rsid w:val="00A71F06"/>
    <w:rsid w:val="00A8385F"/>
    <w:rsid w:val="00A91F21"/>
    <w:rsid w:val="00AA67FB"/>
    <w:rsid w:val="00AA6A1D"/>
    <w:rsid w:val="00AC2CA8"/>
    <w:rsid w:val="00AC3017"/>
    <w:rsid w:val="00AC564F"/>
    <w:rsid w:val="00AC65B2"/>
    <w:rsid w:val="00AD07E0"/>
    <w:rsid w:val="00AE3611"/>
    <w:rsid w:val="00B13981"/>
    <w:rsid w:val="00B15E44"/>
    <w:rsid w:val="00B16718"/>
    <w:rsid w:val="00B3283F"/>
    <w:rsid w:val="00B42417"/>
    <w:rsid w:val="00B4465D"/>
    <w:rsid w:val="00B503D5"/>
    <w:rsid w:val="00B53E33"/>
    <w:rsid w:val="00B553A9"/>
    <w:rsid w:val="00B60D03"/>
    <w:rsid w:val="00B62E5A"/>
    <w:rsid w:val="00B7411E"/>
    <w:rsid w:val="00B74ED1"/>
    <w:rsid w:val="00B765E2"/>
    <w:rsid w:val="00B82C3E"/>
    <w:rsid w:val="00B93331"/>
    <w:rsid w:val="00BA2091"/>
    <w:rsid w:val="00BA5B42"/>
    <w:rsid w:val="00BB33FE"/>
    <w:rsid w:val="00BB4F46"/>
    <w:rsid w:val="00BB505D"/>
    <w:rsid w:val="00BB5A06"/>
    <w:rsid w:val="00BC3BCF"/>
    <w:rsid w:val="00BC484C"/>
    <w:rsid w:val="00BD1402"/>
    <w:rsid w:val="00BD24B6"/>
    <w:rsid w:val="00BE0F66"/>
    <w:rsid w:val="00BE785E"/>
    <w:rsid w:val="00BF7682"/>
    <w:rsid w:val="00C06A0B"/>
    <w:rsid w:val="00C16232"/>
    <w:rsid w:val="00C168DA"/>
    <w:rsid w:val="00C209FB"/>
    <w:rsid w:val="00C248C7"/>
    <w:rsid w:val="00C30CD2"/>
    <w:rsid w:val="00C344FD"/>
    <w:rsid w:val="00C3487C"/>
    <w:rsid w:val="00C366B9"/>
    <w:rsid w:val="00C42DD0"/>
    <w:rsid w:val="00C43147"/>
    <w:rsid w:val="00C44CBB"/>
    <w:rsid w:val="00C45136"/>
    <w:rsid w:val="00C53E82"/>
    <w:rsid w:val="00C559F9"/>
    <w:rsid w:val="00C655F5"/>
    <w:rsid w:val="00C73523"/>
    <w:rsid w:val="00C7524F"/>
    <w:rsid w:val="00C8039E"/>
    <w:rsid w:val="00C80F8E"/>
    <w:rsid w:val="00C84560"/>
    <w:rsid w:val="00C902D3"/>
    <w:rsid w:val="00C941DB"/>
    <w:rsid w:val="00C96EB9"/>
    <w:rsid w:val="00C97258"/>
    <w:rsid w:val="00CA1110"/>
    <w:rsid w:val="00CA3ECD"/>
    <w:rsid w:val="00CB1566"/>
    <w:rsid w:val="00CC1158"/>
    <w:rsid w:val="00CC4830"/>
    <w:rsid w:val="00CE0549"/>
    <w:rsid w:val="00CE1E90"/>
    <w:rsid w:val="00CE5B31"/>
    <w:rsid w:val="00CE5EF8"/>
    <w:rsid w:val="00CE6673"/>
    <w:rsid w:val="00CE7A36"/>
    <w:rsid w:val="00CE7B94"/>
    <w:rsid w:val="00D006A6"/>
    <w:rsid w:val="00D11FA6"/>
    <w:rsid w:val="00D23478"/>
    <w:rsid w:val="00D23E39"/>
    <w:rsid w:val="00D27D9C"/>
    <w:rsid w:val="00D45942"/>
    <w:rsid w:val="00D47310"/>
    <w:rsid w:val="00D50D8B"/>
    <w:rsid w:val="00D53E1B"/>
    <w:rsid w:val="00D57F51"/>
    <w:rsid w:val="00D754F0"/>
    <w:rsid w:val="00D85152"/>
    <w:rsid w:val="00D87F8B"/>
    <w:rsid w:val="00D92C6A"/>
    <w:rsid w:val="00D930A6"/>
    <w:rsid w:val="00D979F6"/>
    <w:rsid w:val="00DA4409"/>
    <w:rsid w:val="00DB3110"/>
    <w:rsid w:val="00DC0C48"/>
    <w:rsid w:val="00DF1120"/>
    <w:rsid w:val="00DF55FD"/>
    <w:rsid w:val="00E05AD2"/>
    <w:rsid w:val="00E14525"/>
    <w:rsid w:val="00E40D3E"/>
    <w:rsid w:val="00E41767"/>
    <w:rsid w:val="00E440A7"/>
    <w:rsid w:val="00E46282"/>
    <w:rsid w:val="00E47597"/>
    <w:rsid w:val="00E52DB6"/>
    <w:rsid w:val="00E5654B"/>
    <w:rsid w:val="00E57979"/>
    <w:rsid w:val="00E660D7"/>
    <w:rsid w:val="00E83D48"/>
    <w:rsid w:val="00E842BC"/>
    <w:rsid w:val="00E87C01"/>
    <w:rsid w:val="00E92E61"/>
    <w:rsid w:val="00E97B77"/>
    <w:rsid w:val="00EA4A32"/>
    <w:rsid w:val="00EA6423"/>
    <w:rsid w:val="00EA7A7A"/>
    <w:rsid w:val="00EC5F47"/>
    <w:rsid w:val="00ED1CC9"/>
    <w:rsid w:val="00EE7190"/>
    <w:rsid w:val="00EF593B"/>
    <w:rsid w:val="00EF6627"/>
    <w:rsid w:val="00F03043"/>
    <w:rsid w:val="00F032E5"/>
    <w:rsid w:val="00F126D5"/>
    <w:rsid w:val="00F162F7"/>
    <w:rsid w:val="00F20FAA"/>
    <w:rsid w:val="00F22024"/>
    <w:rsid w:val="00F234E3"/>
    <w:rsid w:val="00F316E2"/>
    <w:rsid w:val="00F33674"/>
    <w:rsid w:val="00F44C6C"/>
    <w:rsid w:val="00F45523"/>
    <w:rsid w:val="00F45D64"/>
    <w:rsid w:val="00F52D8E"/>
    <w:rsid w:val="00F577AC"/>
    <w:rsid w:val="00F63483"/>
    <w:rsid w:val="00F63834"/>
    <w:rsid w:val="00F67061"/>
    <w:rsid w:val="00F67869"/>
    <w:rsid w:val="00F67DBD"/>
    <w:rsid w:val="00F722AE"/>
    <w:rsid w:val="00F7642D"/>
    <w:rsid w:val="00F81DB4"/>
    <w:rsid w:val="00F828D2"/>
    <w:rsid w:val="00F851D4"/>
    <w:rsid w:val="00FA184F"/>
    <w:rsid w:val="00FA67D1"/>
    <w:rsid w:val="00FB5453"/>
    <w:rsid w:val="00FB5BD1"/>
    <w:rsid w:val="00FB5C1F"/>
    <w:rsid w:val="00FC0576"/>
    <w:rsid w:val="00FC2525"/>
    <w:rsid w:val="00FD125D"/>
    <w:rsid w:val="00FD4953"/>
    <w:rsid w:val="00FD4E91"/>
    <w:rsid w:val="00FE4D0A"/>
    <w:rsid w:val="00FE6CF5"/>
    <w:rsid w:val="00FF060F"/>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B4D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45A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388"/>
    <w:pPr>
      <w:tabs>
        <w:tab w:val="center" w:pos="4320"/>
        <w:tab w:val="right" w:pos="8640"/>
      </w:tabs>
    </w:pPr>
  </w:style>
  <w:style w:type="character" w:styleId="Emphasis">
    <w:name w:val="Emphasis"/>
    <w:qFormat/>
    <w:rsid w:val="004D138D"/>
    <w:rPr>
      <w:i/>
      <w:iCs/>
    </w:rPr>
  </w:style>
  <w:style w:type="character" w:customStyle="1" w:styleId="documentbody">
    <w:name w:val="documentbody"/>
    <w:basedOn w:val="DefaultParagraphFont"/>
    <w:rsid w:val="004D138D"/>
  </w:style>
  <w:style w:type="paragraph" w:styleId="FootnoteText">
    <w:name w:val="footnote text"/>
    <w:basedOn w:val="Normal"/>
    <w:link w:val="FootnoteTextChar"/>
    <w:uiPriority w:val="99"/>
    <w:rsid w:val="004D138D"/>
    <w:pPr>
      <w:widowControl w:val="0"/>
      <w:autoSpaceDE w:val="0"/>
      <w:autoSpaceDN w:val="0"/>
      <w:adjustRightInd w:val="0"/>
    </w:pPr>
    <w:rPr>
      <w:sz w:val="20"/>
      <w:szCs w:val="20"/>
    </w:rPr>
  </w:style>
  <w:style w:type="character" w:styleId="FootnoteReference">
    <w:name w:val="footnote reference"/>
    <w:uiPriority w:val="99"/>
    <w:rsid w:val="004D138D"/>
    <w:rPr>
      <w:vertAlign w:val="superscript"/>
    </w:rPr>
  </w:style>
  <w:style w:type="character" w:styleId="Hyperlink">
    <w:name w:val="Hyperlink"/>
    <w:uiPriority w:val="99"/>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rsid w:val="00E05AD2"/>
    <w:rPr>
      <w:sz w:val="20"/>
      <w:szCs w:val="20"/>
    </w:rPr>
  </w:style>
  <w:style w:type="character" w:customStyle="1" w:styleId="CommentTextChar">
    <w:name w:val="Comment Text Char"/>
    <w:basedOn w:val="DefaultParagraphFont"/>
    <w:link w:val="CommentText"/>
    <w:uiPriority w:val="99"/>
    <w:rsid w:val="00E05AD2"/>
  </w:style>
  <w:style w:type="character" w:styleId="CommentReference">
    <w:name w:val="annotation reference"/>
    <w:uiPriority w:val="99"/>
    <w:unhideWhenUsed/>
    <w:rsid w:val="00E05AD2"/>
    <w:rPr>
      <w:rFonts w:cs="Times New Roman"/>
      <w:sz w:val="16"/>
      <w:szCs w:val="16"/>
    </w:rPr>
  </w:style>
  <w:style w:type="paragraph" w:styleId="BalloonText">
    <w:name w:val="Balloon Text"/>
    <w:basedOn w:val="Normal"/>
    <w:link w:val="BalloonTextChar"/>
    <w:rsid w:val="00E05AD2"/>
    <w:rPr>
      <w:rFonts w:ascii="Tahoma" w:hAnsi="Tahoma" w:cs="Tahoma"/>
      <w:sz w:val="16"/>
      <w:szCs w:val="16"/>
    </w:rPr>
  </w:style>
  <w:style w:type="character" w:customStyle="1" w:styleId="BalloonTextChar">
    <w:name w:val="Balloon Text Char"/>
    <w:link w:val="BalloonText"/>
    <w:rsid w:val="00E05AD2"/>
    <w:rPr>
      <w:rFonts w:ascii="Tahoma" w:hAnsi="Tahoma" w:cs="Tahoma"/>
      <w:sz w:val="16"/>
      <w:szCs w:val="16"/>
    </w:rPr>
  </w:style>
  <w:style w:type="paragraph" w:styleId="ListParagraph">
    <w:name w:val="List Paragraph"/>
    <w:basedOn w:val="Normal"/>
    <w:uiPriority w:val="34"/>
    <w:qFormat/>
    <w:rsid w:val="007D0B09"/>
    <w:pPr>
      <w:ind w:left="720"/>
      <w:contextualSpacing/>
    </w:pPr>
  </w:style>
  <w:style w:type="character" w:customStyle="1" w:styleId="FooterChar">
    <w:name w:val="Footer Char"/>
    <w:basedOn w:val="DefaultParagraphFont"/>
    <w:link w:val="Footer"/>
    <w:rsid w:val="006E627E"/>
    <w:rPr>
      <w:sz w:val="24"/>
      <w:szCs w:val="24"/>
    </w:rPr>
  </w:style>
  <w:style w:type="paragraph" w:styleId="Header">
    <w:name w:val="header"/>
    <w:basedOn w:val="Normal"/>
    <w:link w:val="HeaderChar"/>
    <w:uiPriority w:val="99"/>
    <w:unhideWhenUsed/>
    <w:rsid w:val="006E627E"/>
    <w:pPr>
      <w:tabs>
        <w:tab w:val="center" w:pos="4680"/>
        <w:tab w:val="right" w:pos="9360"/>
      </w:tabs>
    </w:pPr>
  </w:style>
  <w:style w:type="character" w:customStyle="1" w:styleId="HeaderChar">
    <w:name w:val="Header Char"/>
    <w:basedOn w:val="DefaultParagraphFont"/>
    <w:link w:val="Header"/>
    <w:uiPriority w:val="99"/>
    <w:rsid w:val="006E627E"/>
    <w:rPr>
      <w:sz w:val="24"/>
      <w:szCs w:val="24"/>
    </w:rPr>
  </w:style>
  <w:style w:type="paragraph" w:customStyle="1" w:styleId="BIABC">
    <w:name w:val="BI ABC"/>
    <w:basedOn w:val="BodyText"/>
    <w:autoRedefine/>
    <w:qFormat/>
    <w:rsid w:val="00B553A9"/>
    <w:pPr>
      <w:keepLines/>
      <w:widowControl w:val="0"/>
      <w:tabs>
        <w:tab w:val="left" w:pos="1008"/>
      </w:tabs>
      <w:suppressAutoHyphens/>
      <w:spacing w:before="240" w:after="200"/>
      <w:ind w:left="1440" w:hanging="720"/>
      <w:jc w:val="both"/>
    </w:pPr>
    <w:rPr>
      <w:rFonts w:eastAsia="SimSun" w:cs="Sakkal Majalla"/>
      <w:b/>
      <w:bCs/>
      <w:lang w:eastAsia="ar-SA"/>
    </w:rPr>
  </w:style>
  <w:style w:type="character" w:customStyle="1" w:styleId="FootnoteTextChar">
    <w:name w:val="Footnote Text Char"/>
    <w:basedOn w:val="DefaultParagraphFont"/>
    <w:link w:val="FootnoteText"/>
    <w:uiPriority w:val="99"/>
    <w:rsid w:val="00B553A9"/>
  </w:style>
  <w:style w:type="paragraph" w:customStyle="1" w:styleId="BII">
    <w:name w:val="BI I"/>
    <w:aliases w:val="II,III"/>
    <w:basedOn w:val="BodyText"/>
    <w:autoRedefine/>
    <w:qFormat/>
    <w:rsid w:val="006B4D47"/>
    <w:pPr>
      <w:keepLines/>
      <w:widowControl w:val="0"/>
      <w:numPr>
        <w:numId w:val="15"/>
      </w:numPr>
      <w:tabs>
        <w:tab w:val="left" w:pos="720"/>
      </w:tabs>
      <w:suppressAutoHyphens/>
      <w:spacing w:before="240"/>
    </w:pPr>
    <w:rPr>
      <w:rFonts w:eastAsia="SimSun" w:cs="Sakkal Majalla"/>
      <w:b/>
      <w:bCs/>
      <w:sz w:val="26"/>
      <w:lang w:eastAsia="ar-SA"/>
    </w:rPr>
  </w:style>
  <w:style w:type="paragraph" w:customStyle="1" w:styleId="BParagraph">
    <w:name w:val="B Paragraph"/>
    <w:basedOn w:val="Normal"/>
    <w:autoRedefine/>
    <w:qFormat/>
    <w:rsid w:val="00B553A9"/>
    <w:pPr>
      <w:keepLines/>
      <w:tabs>
        <w:tab w:val="left" w:pos="720"/>
      </w:tabs>
      <w:autoSpaceDE w:val="0"/>
      <w:autoSpaceDN w:val="0"/>
      <w:adjustRightInd w:val="0"/>
      <w:spacing w:before="120" w:after="200"/>
      <w:ind w:firstLine="720"/>
    </w:pPr>
    <w:rPr>
      <w:bCs/>
    </w:rPr>
  </w:style>
  <w:style w:type="paragraph" w:customStyle="1" w:styleId="BiABC0">
    <w:name w:val="Bi ABC"/>
    <w:basedOn w:val="Normal"/>
    <w:autoRedefine/>
    <w:qFormat/>
    <w:rsid w:val="00B553A9"/>
    <w:pPr>
      <w:keepNext/>
      <w:keepLines/>
      <w:tabs>
        <w:tab w:val="left" w:pos="1440"/>
      </w:tabs>
      <w:autoSpaceDE w:val="0"/>
      <w:autoSpaceDN w:val="0"/>
      <w:adjustRightInd w:val="0"/>
      <w:spacing w:before="240" w:after="200"/>
      <w:ind w:left="2160" w:hanging="1440"/>
    </w:pPr>
    <w:rPr>
      <w:b/>
      <w:bCs/>
    </w:rPr>
  </w:style>
  <w:style w:type="paragraph" w:customStyle="1" w:styleId="BFootnote">
    <w:name w:val="B Footnote"/>
    <w:basedOn w:val="Normal"/>
    <w:autoRedefine/>
    <w:qFormat/>
    <w:rsid w:val="00B553A9"/>
    <w:pPr>
      <w:keepLines/>
      <w:numPr>
        <w:numId w:val="9"/>
      </w:numPr>
      <w:tabs>
        <w:tab w:val="left" w:pos="432"/>
      </w:tabs>
      <w:autoSpaceDE w:val="0"/>
      <w:autoSpaceDN w:val="0"/>
      <w:adjustRightInd w:val="0"/>
      <w:ind w:left="360"/>
    </w:pPr>
    <w:rPr>
      <w:sz w:val="20"/>
      <w:szCs w:val="20"/>
    </w:rPr>
  </w:style>
  <w:style w:type="paragraph" w:styleId="BodyText">
    <w:name w:val="Body Text"/>
    <w:basedOn w:val="Normal"/>
    <w:link w:val="BodyTextChar"/>
    <w:semiHidden/>
    <w:unhideWhenUsed/>
    <w:rsid w:val="00B553A9"/>
    <w:pPr>
      <w:spacing w:after="120"/>
    </w:pPr>
  </w:style>
  <w:style w:type="character" w:customStyle="1" w:styleId="BodyTextChar">
    <w:name w:val="Body Text Char"/>
    <w:basedOn w:val="DefaultParagraphFont"/>
    <w:link w:val="BodyText"/>
    <w:semiHidden/>
    <w:rsid w:val="00B553A9"/>
    <w:rPr>
      <w:sz w:val="24"/>
      <w:szCs w:val="24"/>
    </w:rPr>
  </w:style>
  <w:style w:type="character" w:customStyle="1" w:styleId="Heading1Char">
    <w:name w:val="Heading 1 Char"/>
    <w:basedOn w:val="DefaultParagraphFont"/>
    <w:link w:val="Heading1"/>
    <w:rsid w:val="006B4D4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B4D47"/>
    <w:pPr>
      <w:spacing w:line="259" w:lineRule="auto"/>
      <w:outlineLvl w:val="9"/>
    </w:pPr>
  </w:style>
  <w:style w:type="character" w:customStyle="1" w:styleId="Heading2Char">
    <w:name w:val="Heading 2 Char"/>
    <w:basedOn w:val="DefaultParagraphFont"/>
    <w:link w:val="Heading2"/>
    <w:rsid w:val="00345A37"/>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C84560"/>
    <w:pPr>
      <w:tabs>
        <w:tab w:val="left" w:pos="440"/>
        <w:tab w:val="right" w:leader="dot" w:pos="9350"/>
      </w:tabs>
      <w:spacing w:after="100"/>
      <w:ind w:left="450" w:hanging="450"/>
    </w:pPr>
  </w:style>
  <w:style w:type="paragraph" w:styleId="TOC2">
    <w:name w:val="toc 2"/>
    <w:basedOn w:val="Normal"/>
    <w:next w:val="Normal"/>
    <w:autoRedefine/>
    <w:uiPriority w:val="39"/>
    <w:unhideWhenUsed/>
    <w:rsid w:val="00C84560"/>
    <w:pPr>
      <w:tabs>
        <w:tab w:val="left" w:pos="880"/>
        <w:tab w:val="right" w:leader="dot" w:pos="9350"/>
      </w:tabs>
      <w:spacing w:after="100"/>
      <w:ind w:left="240"/>
    </w:pPr>
    <w:rPr>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B4D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45A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388"/>
    <w:pPr>
      <w:tabs>
        <w:tab w:val="center" w:pos="4320"/>
        <w:tab w:val="right" w:pos="8640"/>
      </w:tabs>
    </w:pPr>
  </w:style>
  <w:style w:type="character" w:styleId="Emphasis">
    <w:name w:val="Emphasis"/>
    <w:qFormat/>
    <w:rsid w:val="004D138D"/>
    <w:rPr>
      <w:i/>
      <w:iCs/>
    </w:rPr>
  </w:style>
  <w:style w:type="character" w:customStyle="1" w:styleId="documentbody">
    <w:name w:val="documentbody"/>
    <w:basedOn w:val="DefaultParagraphFont"/>
    <w:rsid w:val="004D138D"/>
  </w:style>
  <w:style w:type="paragraph" w:styleId="FootnoteText">
    <w:name w:val="footnote text"/>
    <w:basedOn w:val="Normal"/>
    <w:link w:val="FootnoteTextChar"/>
    <w:uiPriority w:val="99"/>
    <w:rsid w:val="004D138D"/>
    <w:pPr>
      <w:widowControl w:val="0"/>
      <w:autoSpaceDE w:val="0"/>
      <w:autoSpaceDN w:val="0"/>
      <w:adjustRightInd w:val="0"/>
    </w:pPr>
    <w:rPr>
      <w:sz w:val="20"/>
      <w:szCs w:val="20"/>
    </w:rPr>
  </w:style>
  <w:style w:type="character" w:styleId="FootnoteReference">
    <w:name w:val="footnote reference"/>
    <w:uiPriority w:val="99"/>
    <w:rsid w:val="004D138D"/>
    <w:rPr>
      <w:vertAlign w:val="superscript"/>
    </w:rPr>
  </w:style>
  <w:style w:type="character" w:styleId="Hyperlink">
    <w:name w:val="Hyperlink"/>
    <w:uiPriority w:val="99"/>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rsid w:val="00E05AD2"/>
    <w:rPr>
      <w:sz w:val="20"/>
      <w:szCs w:val="20"/>
    </w:rPr>
  </w:style>
  <w:style w:type="character" w:customStyle="1" w:styleId="CommentTextChar">
    <w:name w:val="Comment Text Char"/>
    <w:basedOn w:val="DefaultParagraphFont"/>
    <w:link w:val="CommentText"/>
    <w:uiPriority w:val="99"/>
    <w:rsid w:val="00E05AD2"/>
  </w:style>
  <w:style w:type="character" w:styleId="CommentReference">
    <w:name w:val="annotation reference"/>
    <w:uiPriority w:val="99"/>
    <w:unhideWhenUsed/>
    <w:rsid w:val="00E05AD2"/>
    <w:rPr>
      <w:rFonts w:cs="Times New Roman"/>
      <w:sz w:val="16"/>
      <w:szCs w:val="16"/>
    </w:rPr>
  </w:style>
  <w:style w:type="paragraph" w:styleId="BalloonText">
    <w:name w:val="Balloon Text"/>
    <w:basedOn w:val="Normal"/>
    <w:link w:val="BalloonTextChar"/>
    <w:rsid w:val="00E05AD2"/>
    <w:rPr>
      <w:rFonts w:ascii="Tahoma" w:hAnsi="Tahoma" w:cs="Tahoma"/>
      <w:sz w:val="16"/>
      <w:szCs w:val="16"/>
    </w:rPr>
  </w:style>
  <w:style w:type="character" w:customStyle="1" w:styleId="BalloonTextChar">
    <w:name w:val="Balloon Text Char"/>
    <w:link w:val="BalloonText"/>
    <w:rsid w:val="00E05AD2"/>
    <w:rPr>
      <w:rFonts w:ascii="Tahoma" w:hAnsi="Tahoma" w:cs="Tahoma"/>
      <w:sz w:val="16"/>
      <w:szCs w:val="16"/>
    </w:rPr>
  </w:style>
  <w:style w:type="paragraph" w:styleId="ListParagraph">
    <w:name w:val="List Paragraph"/>
    <w:basedOn w:val="Normal"/>
    <w:uiPriority w:val="34"/>
    <w:qFormat/>
    <w:rsid w:val="007D0B09"/>
    <w:pPr>
      <w:ind w:left="720"/>
      <w:contextualSpacing/>
    </w:pPr>
  </w:style>
  <w:style w:type="character" w:customStyle="1" w:styleId="FooterChar">
    <w:name w:val="Footer Char"/>
    <w:basedOn w:val="DefaultParagraphFont"/>
    <w:link w:val="Footer"/>
    <w:rsid w:val="006E627E"/>
    <w:rPr>
      <w:sz w:val="24"/>
      <w:szCs w:val="24"/>
    </w:rPr>
  </w:style>
  <w:style w:type="paragraph" w:styleId="Header">
    <w:name w:val="header"/>
    <w:basedOn w:val="Normal"/>
    <w:link w:val="HeaderChar"/>
    <w:uiPriority w:val="99"/>
    <w:unhideWhenUsed/>
    <w:rsid w:val="006E627E"/>
    <w:pPr>
      <w:tabs>
        <w:tab w:val="center" w:pos="4680"/>
        <w:tab w:val="right" w:pos="9360"/>
      </w:tabs>
    </w:pPr>
  </w:style>
  <w:style w:type="character" w:customStyle="1" w:styleId="HeaderChar">
    <w:name w:val="Header Char"/>
    <w:basedOn w:val="DefaultParagraphFont"/>
    <w:link w:val="Header"/>
    <w:uiPriority w:val="99"/>
    <w:rsid w:val="006E627E"/>
    <w:rPr>
      <w:sz w:val="24"/>
      <w:szCs w:val="24"/>
    </w:rPr>
  </w:style>
  <w:style w:type="paragraph" w:customStyle="1" w:styleId="BIABC">
    <w:name w:val="BI ABC"/>
    <w:basedOn w:val="BodyText"/>
    <w:autoRedefine/>
    <w:qFormat/>
    <w:rsid w:val="00B553A9"/>
    <w:pPr>
      <w:keepLines/>
      <w:widowControl w:val="0"/>
      <w:tabs>
        <w:tab w:val="left" w:pos="1008"/>
      </w:tabs>
      <w:suppressAutoHyphens/>
      <w:spacing w:before="240" w:after="200"/>
      <w:ind w:left="1440" w:hanging="720"/>
      <w:jc w:val="both"/>
    </w:pPr>
    <w:rPr>
      <w:rFonts w:eastAsia="SimSun" w:cs="Sakkal Majalla"/>
      <w:b/>
      <w:bCs/>
      <w:lang w:eastAsia="ar-SA"/>
    </w:rPr>
  </w:style>
  <w:style w:type="character" w:customStyle="1" w:styleId="FootnoteTextChar">
    <w:name w:val="Footnote Text Char"/>
    <w:basedOn w:val="DefaultParagraphFont"/>
    <w:link w:val="FootnoteText"/>
    <w:uiPriority w:val="99"/>
    <w:rsid w:val="00B553A9"/>
  </w:style>
  <w:style w:type="paragraph" w:customStyle="1" w:styleId="BII">
    <w:name w:val="BI I"/>
    <w:aliases w:val="II,III"/>
    <w:basedOn w:val="BodyText"/>
    <w:autoRedefine/>
    <w:qFormat/>
    <w:rsid w:val="006B4D47"/>
    <w:pPr>
      <w:keepLines/>
      <w:widowControl w:val="0"/>
      <w:numPr>
        <w:numId w:val="15"/>
      </w:numPr>
      <w:tabs>
        <w:tab w:val="left" w:pos="720"/>
      </w:tabs>
      <w:suppressAutoHyphens/>
      <w:spacing w:before="240"/>
    </w:pPr>
    <w:rPr>
      <w:rFonts w:eastAsia="SimSun" w:cs="Sakkal Majalla"/>
      <w:b/>
      <w:bCs/>
      <w:sz w:val="26"/>
      <w:lang w:eastAsia="ar-SA"/>
    </w:rPr>
  </w:style>
  <w:style w:type="paragraph" w:customStyle="1" w:styleId="BParagraph">
    <w:name w:val="B Paragraph"/>
    <w:basedOn w:val="Normal"/>
    <w:autoRedefine/>
    <w:qFormat/>
    <w:rsid w:val="00B553A9"/>
    <w:pPr>
      <w:keepLines/>
      <w:tabs>
        <w:tab w:val="left" w:pos="720"/>
      </w:tabs>
      <w:autoSpaceDE w:val="0"/>
      <w:autoSpaceDN w:val="0"/>
      <w:adjustRightInd w:val="0"/>
      <w:spacing w:before="120" w:after="200"/>
      <w:ind w:firstLine="720"/>
    </w:pPr>
    <w:rPr>
      <w:bCs/>
    </w:rPr>
  </w:style>
  <w:style w:type="paragraph" w:customStyle="1" w:styleId="BiABC0">
    <w:name w:val="Bi ABC"/>
    <w:basedOn w:val="Normal"/>
    <w:autoRedefine/>
    <w:qFormat/>
    <w:rsid w:val="00B553A9"/>
    <w:pPr>
      <w:keepNext/>
      <w:keepLines/>
      <w:tabs>
        <w:tab w:val="left" w:pos="1440"/>
      </w:tabs>
      <w:autoSpaceDE w:val="0"/>
      <w:autoSpaceDN w:val="0"/>
      <w:adjustRightInd w:val="0"/>
      <w:spacing w:before="240" w:after="200"/>
      <w:ind w:left="2160" w:hanging="1440"/>
    </w:pPr>
    <w:rPr>
      <w:b/>
      <w:bCs/>
    </w:rPr>
  </w:style>
  <w:style w:type="paragraph" w:customStyle="1" w:styleId="BFootnote">
    <w:name w:val="B Footnote"/>
    <w:basedOn w:val="Normal"/>
    <w:autoRedefine/>
    <w:qFormat/>
    <w:rsid w:val="00B553A9"/>
    <w:pPr>
      <w:keepLines/>
      <w:numPr>
        <w:numId w:val="9"/>
      </w:numPr>
      <w:tabs>
        <w:tab w:val="left" w:pos="432"/>
      </w:tabs>
      <w:autoSpaceDE w:val="0"/>
      <w:autoSpaceDN w:val="0"/>
      <w:adjustRightInd w:val="0"/>
      <w:ind w:left="360"/>
    </w:pPr>
    <w:rPr>
      <w:sz w:val="20"/>
      <w:szCs w:val="20"/>
    </w:rPr>
  </w:style>
  <w:style w:type="paragraph" w:styleId="BodyText">
    <w:name w:val="Body Text"/>
    <w:basedOn w:val="Normal"/>
    <w:link w:val="BodyTextChar"/>
    <w:semiHidden/>
    <w:unhideWhenUsed/>
    <w:rsid w:val="00B553A9"/>
    <w:pPr>
      <w:spacing w:after="120"/>
    </w:pPr>
  </w:style>
  <w:style w:type="character" w:customStyle="1" w:styleId="BodyTextChar">
    <w:name w:val="Body Text Char"/>
    <w:basedOn w:val="DefaultParagraphFont"/>
    <w:link w:val="BodyText"/>
    <w:semiHidden/>
    <w:rsid w:val="00B553A9"/>
    <w:rPr>
      <w:sz w:val="24"/>
      <w:szCs w:val="24"/>
    </w:rPr>
  </w:style>
  <w:style w:type="character" w:customStyle="1" w:styleId="Heading1Char">
    <w:name w:val="Heading 1 Char"/>
    <w:basedOn w:val="DefaultParagraphFont"/>
    <w:link w:val="Heading1"/>
    <w:rsid w:val="006B4D4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B4D47"/>
    <w:pPr>
      <w:spacing w:line="259" w:lineRule="auto"/>
      <w:outlineLvl w:val="9"/>
    </w:pPr>
  </w:style>
  <w:style w:type="character" w:customStyle="1" w:styleId="Heading2Char">
    <w:name w:val="Heading 2 Char"/>
    <w:basedOn w:val="DefaultParagraphFont"/>
    <w:link w:val="Heading2"/>
    <w:rsid w:val="00345A37"/>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C84560"/>
    <w:pPr>
      <w:tabs>
        <w:tab w:val="left" w:pos="440"/>
        <w:tab w:val="right" w:leader="dot" w:pos="9350"/>
      </w:tabs>
      <w:spacing w:after="100"/>
      <w:ind w:left="450" w:hanging="450"/>
    </w:pPr>
  </w:style>
  <w:style w:type="paragraph" w:styleId="TOC2">
    <w:name w:val="toc 2"/>
    <w:basedOn w:val="Normal"/>
    <w:next w:val="Normal"/>
    <w:autoRedefine/>
    <w:uiPriority w:val="39"/>
    <w:unhideWhenUsed/>
    <w:rsid w:val="00C84560"/>
    <w:pPr>
      <w:tabs>
        <w:tab w:val="left" w:pos="880"/>
        <w:tab w:val="right" w:leader="dot" w:pos="9350"/>
      </w:tabs>
      <w:spacing w:after="100"/>
      <w:ind w:left="240"/>
    </w:pPr>
    <w:rPr>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rothschild\AppData\Local\Microsoft\Windows\Temporary%20Internet%20Files\Content.IE5\1Z5W3257\www.prisonlaw.com" TargetMode="External"/><Relationship Id="rId18" Type="http://schemas.openxmlformats.org/officeDocument/2006/relationships/hyperlink" Target="mailto:info@justdetention.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zag.gov/outreach/publications/agency-handbook" TargetMode="External"/><Relationship Id="rId17" Type="http://schemas.openxmlformats.org/officeDocument/2006/relationships/hyperlink" Target="file:///C:\Users\bsigler\AppData\Local\Temp\www.justdetention.org" TargetMode="External"/><Relationship Id="rId2" Type="http://schemas.openxmlformats.org/officeDocument/2006/relationships/numbering" Target="numbering.xml"/><Relationship Id="rId16" Type="http://schemas.openxmlformats.org/officeDocument/2006/relationships/hyperlink" Target="http://www.azd.uscourts.gov/schedule-appointment-tucs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jobs.azd.uscourts.gov/SelfServiceCenter/SHCScheduler.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zd.uscourts.gov/handbook-self-represented-litigan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rrections.az.gov/sites/default/files/policies/100/0125_032519.pdf" TargetMode="External"/><Relationship Id="rId2" Type="http://schemas.openxmlformats.org/officeDocument/2006/relationships/hyperlink" Target="https://www.prearesourcecenter.org/sites/default/files/library/JAG-PREA-FAQ-2018_0.pdf" TargetMode="External"/><Relationship Id="rId1" Type="http://schemas.openxmlformats.org/officeDocument/2006/relationships/hyperlink" Target="file:///C:\Users\bsigler\AppData\Local\Temp\www.federalregister.gov\a\2012-12427" TargetMode="External"/><Relationship Id="rId6" Type="http://schemas.openxmlformats.org/officeDocument/2006/relationships/hyperlink" Target="https://www.azag.gov/outreach/publications/agency-handbook" TargetMode="External"/><Relationship Id="rId5" Type="http://schemas.openxmlformats.org/officeDocument/2006/relationships/hyperlink" Target="https://prisonlaw.com/wp-content/uploads/2019/04/Exhaustion-Memo-with-Forms-Nov-2016-Revisions.pdf" TargetMode="External"/><Relationship Id="rId4" Type="http://schemas.openxmlformats.org/officeDocument/2006/relationships/hyperlink" Target="https://prisonlaw.com/wp-content/uploads/2019/04/AZ-Protective-Custody-with-DO-8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883D-EB9E-47EF-8C62-EB40AF1C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3818</Words>
  <Characters>21764</Characters>
  <Application>Microsoft Office Word</Application>
  <DocSecurity>0</DocSecurity>
  <Lines>444</Lines>
  <Paragraphs>188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Maxager Technology, Inc.</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clarson</dc:creator>
  <cp:lastModifiedBy>Sergio A. Broholm</cp:lastModifiedBy>
  <cp:revision>2</cp:revision>
  <cp:lastPrinted>2019-06-17T18:20:00Z</cp:lastPrinted>
  <dcterms:created xsi:type="dcterms:W3CDTF">2019-09-11T15:30:00Z</dcterms:created>
  <dcterms:modified xsi:type="dcterms:W3CDTF">2019-09-11T15:30:00Z</dcterms:modified>
</cp:coreProperties>
</file>